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B7D9" w14:textId="77777777" w:rsidR="00676E56" w:rsidRPr="00C12D10" w:rsidRDefault="00676E56" w:rsidP="00676E56">
      <w:pPr>
        <w:pStyle w:val="a7"/>
        <w:adjustRightInd/>
        <w:rPr>
          <w:rFonts w:ascii="ＭＳ 明朝" w:cs="Times New Roman"/>
          <w:spacing w:val="2"/>
        </w:rPr>
      </w:pPr>
      <w:r w:rsidRPr="00C12D10">
        <w:rPr>
          <w:rFonts w:ascii="ＭＳ 明朝" w:hAnsi="ＭＳ 明朝" w:cs="游ゴシック" w:hint="eastAsia"/>
        </w:rPr>
        <w:t>公有水面埋立撤回処分に対し国土交通大臣がなした裁決の取消訴訟の判決に対する抗議声明</w:t>
      </w:r>
    </w:p>
    <w:p w14:paraId="3D11DF71" w14:textId="77777777" w:rsidR="00676E56" w:rsidRPr="00C12D10" w:rsidRDefault="00676E56" w:rsidP="00676E56">
      <w:pPr>
        <w:pStyle w:val="a7"/>
        <w:adjustRightInd/>
        <w:rPr>
          <w:rFonts w:ascii="ＭＳ 明朝" w:cs="Times New Roman"/>
          <w:spacing w:val="2"/>
        </w:rPr>
      </w:pPr>
    </w:p>
    <w:p w14:paraId="71B5C332" w14:textId="77777777" w:rsidR="00676E56" w:rsidRPr="00C12D10" w:rsidRDefault="00676E56" w:rsidP="00676E56">
      <w:pPr>
        <w:pStyle w:val="a7"/>
        <w:adjustRightInd/>
        <w:ind w:left="244" w:hanging="244"/>
        <w:rPr>
          <w:rFonts w:ascii="ＭＳ 明朝" w:cs="Times New Roman"/>
          <w:spacing w:val="2"/>
        </w:rPr>
      </w:pPr>
      <w:r w:rsidRPr="00C12D10">
        <w:rPr>
          <w:rFonts w:ascii="ＭＳ 明朝" w:hAnsi="ＭＳ 明朝" w:cs="游ゴシック" w:hint="eastAsia"/>
        </w:rPr>
        <w:t>１　那覇地方裁判所は、本日、辺野古新基地建設に関し、公有水面埋立撤回処分に対し国土交通大臣がなした裁決の取消を求めていた辺野古新基地埋立海域周辺に居住する原告らの請求を却下した。</w:t>
      </w:r>
    </w:p>
    <w:p w14:paraId="650E4A80" w14:textId="77777777" w:rsidR="00C12D10" w:rsidRPr="00C12D10" w:rsidRDefault="00757372" w:rsidP="00C12D10">
      <w:pPr>
        <w:adjustRightInd/>
        <w:ind w:left="244" w:hangingChars="100" w:hanging="244"/>
        <w:rPr>
          <w:rFonts w:ascii="ＭＳ 明朝" w:cs="Times New Roman"/>
          <w:spacing w:val="2"/>
        </w:rPr>
      </w:pPr>
      <w:r w:rsidRPr="00C12D10">
        <w:rPr>
          <w:rFonts w:ascii="ＭＳ 明朝" w:hAnsi="ＭＳ 明朝" w:hint="eastAsia"/>
        </w:rPr>
        <w:t>２</w:t>
      </w:r>
      <w:r w:rsidR="00DA2B81" w:rsidRPr="00C12D10">
        <w:rPr>
          <w:rFonts w:ascii="ＭＳ 明朝" w:hAnsi="ＭＳ 明朝" w:hint="eastAsia"/>
        </w:rPr>
        <w:t xml:space="preserve">　判決は、原告ら４名の原告適格、すなわち原告として訴訟を提起する資格を認めず、原告らの請求を却下した。原告らが判断を求めていた国土交通大臣の裁決の内容に踏み込まないままの判断であり、いわゆる門前払い判決である。</w:t>
      </w:r>
    </w:p>
    <w:p w14:paraId="704CFBB8" w14:textId="77777777" w:rsidR="00C12D10" w:rsidRPr="00C12D10" w:rsidRDefault="00DA2B81" w:rsidP="00C12D10">
      <w:pPr>
        <w:adjustRightInd/>
        <w:ind w:leftChars="100" w:left="244"/>
        <w:rPr>
          <w:rFonts w:ascii="ＭＳ 明朝" w:cs="Times New Roman"/>
          <w:spacing w:val="2"/>
        </w:rPr>
      </w:pPr>
      <w:r w:rsidRPr="00C12D10">
        <w:rPr>
          <w:rFonts w:ascii="ＭＳ 明朝" w:hAnsi="ＭＳ 明朝" w:hint="eastAsia"/>
        </w:rPr>
        <w:t xml:space="preserve">　このような</w:t>
      </w:r>
      <w:r w:rsidR="0023284C" w:rsidRPr="00C12D10">
        <w:rPr>
          <w:rFonts w:ascii="ＭＳ 明朝" w:hAnsi="ＭＳ 明朝" w:hint="eastAsia"/>
        </w:rPr>
        <w:t>判決</w:t>
      </w:r>
      <w:r w:rsidRPr="00C12D10">
        <w:rPr>
          <w:rFonts w:ascii="ＭＳ 明朝" w:hAnsi="ＭＳ 明朝" w:hint="eastAsia"/>
        </w:rPr>
        <w:t>は、行政庁におもねり、司法の役割を放棄する不当な</w:t>
      </w:r>
      <w:r w:rsidR="0023284C" w:rsidRPr="00C12D10">
        <w:rPr>
          <w:rFonts w:ascii="ＭＳ 明朝" w:hAnsi="ＭＳ 明朝" w:hint="eastAsia"/>
        </w:rPr>
        <w:t>もの</w:t>
      </w:r>
      <w:r w:rsidRPr="00C12D10">
        <w:rPr>
          <w:rFonts w:ascii="ＭＳ 明朝" w:hAnsi="ＭＳ 明朝" w:hint="eastAsia"/>
        </w:rPr>
        <w:t>と言わなければならない。特に、今回の判決の対象となった原告ら４名は、先行する執行停止申立事件の２０２０年３月１９日決定</w:t>
      </w:r>
      <w:r w:rsidR="0008146F" w:rsidRPr="00C12D10">
        <w:rPr>
          <w:rFonts w:ascii="ＭＳ 明朝" w:hAnsi="ＭＳ 明朝" w:hint="eastAsia"/>
        </w:rPr>
        <w:t>（以下、「決定」という。）</w:t>
      </w:r>
      <w:r w:rsidRPr="00C12D10">
        <w:rPr>
          <w:rFonts w:ascii="ＭＳ 明朝" w:hAnsi="ＭＳ 明朝" w:hint="eastAsia"/>
        </w:rPr>
        <w:t>では原告適格が認められた者たちである。同じ裁判所が、担当裁判官の交代を経て、同一の争点について先行</w:t>
      </w:r>
      <w:r w:rsidR="0008146F" w:rsidRPr="00C12D10">
        <w:rPr>
          <w:rFonts w:ascii="ＭＳ 明朝" w:hAnsi="ＭＳ 明朝" w:hint="eastAsia"/>
        </w:rPr>
        <w:t>する</w:t>
      </w:r>
      <w:r w:rsidRPr="00C12D10">
        <w:rPr>
          <w:rFonts w:ascii="ＭＳ 明朝" w:hAnsi="ＭＳ 明朝" w:hint="eastAsia"/>
        </w:rPr>
        <w:t>決定と異なる判断を下したことになる。</w:t>
      </w:r>
      <w:r w:rsidR="000D4AB5" w:rsidRPr="00C12D10">
        <w:rPr>
          <w:rFonts w:ascii="ＭＳ 明朝" w:hAnsi="ＭＳ 明朝" w:hint="eastAsia"/>
        </w:rPr>
        <w:t>このような本件判決は、</w:t>
      </w:r>
      <w:r w:rsidRPr="00C12D10">
        <w:rPr>
          <w:rFonts w:ascii="ＭＳ 明朝" w:hAnsi="ＭＳ 明朝" w:hint="eastAsia"/>
        </w:rPr>
        <w:t>司法が行政の立場を過度に忖度した結果との評価を免れることはできない。</w:t>
      </w:r>
    </w:p>
    <w:p w14:paraId="5461BF46" w14:textId="77777777" w:rsidR="0023284C" w:rsidRPr="00C12D10" w:rsidRDefault="00DA2B81" w:rsidP="00C12D10">
      <w:pPr>
        <w:adjustRightInd/>
        <w:ind w:leftChars="100" w:left="244" w:firstLineChars="100" w:firstLine="244"/>
        <w:rPr>
          <w:rFonts w:ascii="ＭＳ 明朝" w:cs="Times New Roman"/>
          <w:spacing w:val="2"/>
        </w:rPr>
      </w:pPr>
      <w:r w:rsidRPr="00C12D10">
        <w:rPr>
          <w:rFonts w:ascii="ＭＳ 明朝" w:hAnsi="ＭＳ 明朝" w:hint="eastAsia"/>
        </w:rPr>
        <w:t>裁判所が、原告適格を</w:t>
      </w:r>
      <w:r w:rsidR="00830C3E">
        <w:rPr>
          <w:rFonts w:ascii="ＭＳ 明朝" w:hAnsi="ＭＳ 明朝" w:hint="eastAsia"/>
        </w:rPr>
        <w:t>狭く</w:t>
      </w:r>
      <w:r w:rsidRPr="00C12D10">
        <w:rPr>
          <w:rFonts w:ascii="ＭＳ 明朝" w:hAnsi="ＭＳ 明朝" w:hint="eastAsia"/>
        </w:rPr>
        <w:t>判断して、行政処分の実体に踏み込まずに判断する手法は、司法による救済の範囲拡大を指向した２００４年行政事件訴訟法改正の趣旨にも</w:t>
      </w:r>
      <w:r w:rsidR="004A5365">
        <w:rPr>
          <w:rFonts w:ascii="ＭＳ 明朝" w:hAnsi="ＭＳ 明朝" w:hint="eastAsia"/>
        </w:rPr>
        <w:t>悖る</w:t>
      </w:r>
      <w:r w:rsidRPr="00C12D10">
        <w:rPr>
          <w:rFonts w:ascii="ＭＳ 明朝" w:hAnsi="ＭＳ 明朝" w:hint="eastAsia"/>
        </w:rPr>
        <w:t>ものである。</w:t>
      </w:r>
    </w:p>
    <w:p w14:paraId="371D5733" w14:textId="77777777" w:rsidR="0093178C" w:rsidRPr="0093178C" w:rsidRDefault="0093178C" w:rsidP="0093178C">
      <w:pPr>
        <w:pStyle w:val="a7"/>
        <w:adjustRightInd/>
        <w:ind w:left="244" w:hanging="244"/>
        <w:rPr>
          <w:rFonts w:ascii="ＭＳ 明朝" w:hAnsi="ＭＳ 明朝" w:cs="游ゴシック" w:hint="eastAsia"/>
        </w:rPr>
      </w:pPr>
      <w:r w:rsidRPr="0093178C">
        <w:rPr>
          <w:rFonts w:ascii="ＭＳ 明朝" w:hAnsi="ＭＳ 明朝" w:cs="游ゴシック" w:hint="eastAsia"/>
        </w:rPr>
        <w:t>３　もっとも、本件判決は、国交大臣による裁決の瑕疵の有無を判断した上で適法であるとの判断を示したものではない。</w:t>
      </w:r>
    </w:p>
    <w:p w14:paraId="55A53615" w14:textId="7BA70582" w:rsidR="008832C8" w:rsidRDefault="0093178C" w:rsidP="0093178C">
      <w:pPr>
        <w:pStyle w:val="a7"/>
        <w:adjustRightInd/>
        <w:ind w:left="244" w:hanging="244"/>
        <w:rPr>
          <w:rFonts w:ascii="ＭＳ 明朝" w:cs="游ゴシック"/>
        </w:rPr>
      </w:pPr>
      <w:r w:rsidRPr="0093178C">
        <w:rPr>
          <w:rFonts w:ascii="ＭＳ 明朝" w:hAnsi="ＭＳ 明朝" w:cs="游ゴシック" w:hint="eastAsia"/>
        </w:rPr>
        <w:t xml:space="preserve">　　本件判決は、軟弱地盤や活断層の存在等は裁決の違法事由になり得るが、これらについては、原告らが主張することはできないとしたものであって、仮に原告らがこれらについて主張できた場合であっても、裁決が適法となるか否かについては判断していないのである。</w:t>
      </w:r>
    </w:p>
    <w:p w14:paraId="3E18A21D" w14:textId="77777777" w:rsidR="00C12D10" w:rsidRPr="00C12D10" w:rsidRDefault="00C12D10" w:rsidP="00C12D10">
      <w:pPr>
        <w:pStyle w:val="a7"/>
        <w:adjustRightInd/>
        <w:ind w:left="244" w:hanging="244"/>
        <w:rPr>
          <w:rFonts w:ascii="ＭＳ 明朝" w:cs="Times New Roman"/>
          <w:spacing w:val="2"/>
        </w:rPr>
      </w:pPr>
      <w:r w:rsidRPr="00C12D10">
        <w:rPr>
          <w:rFonts w:ascii="ＭＳ 明朝" w:hAnsi="ＭＳ 明朝" w:cs="游ゴシック" w:hint="eastAsia"/>
        </w:rPr>
        <w:t>４　大浦湾で現に行われている本件埋立事業は米軍基地を建設するための事業であ</w:t>
      </w:r>
      <w:r w:rsidRPr="00C12D10">
        <w:rPr>
          <w:rFonts w:ascii="ＭＳ 明朝" w:hAnsi="ＭＳ 明朝" w:cs="游ゴシック" w:hint="eastAsia"/>
        </w:rPr>
        <w:lastRenderedPageBreak/>
        <w:t>る。</w:t>
      </w:r>
      <w:r w:rsidR="004A5365">
        <w:rPr>
          <w:rFonts w:ascii="ＭＳ 明朝" w:hAnsi="ＭＳ 明朝" w:cs="游ゴシック" w:hint="eastAsia"/>
        </w:rPr>
        <w:t>原告らは、</w:t>
      </w:r>
      <w:r w:rsidRPr="00C12D10">
        <w:rPr>
          <w:rFonts w:ascii="ＭＳ 明朝" w:hAnsi="ＭＳ 明朝" w:cs="游ゴシック" w:hint="eastAsia"/>
        </w:rPr>
        <w:t>埋立工事強行により現に被害を受けているだけでなく、埋立</w:t>
      </w:r>
      <w:r w:rsidR="004A5365">
        <w:rPr>
          <w:rFonts w:ascii="ＭＳ 明朝" w:hAnsi="ＭＳ 明朝" w:cs="游ゴシック" w:hint="eastAsia"/>
        </w:rPr>
        <w:t>地の</w:t>
      </w:r>
      <w:r w:rsidRPr="00C12D10">
        <w:rPr>
          <w:rFonts w:ascii="ＭＳ 明朝" w:hAnsi="ＭＳ 明朝" w:cs="游ゴシック" w:hint="eastAsia"/>
        </w:rPr>
        <w:t>利用、すなわち、米軍基地の運用が開始されれば、辺野古新基地を</w:t>
      </w:r>
      <w:r w:rsidR="004A5365">
        <w:rPr>
          <w:rFonts w:ascii="ＭＳ 明朝" w:hAnsi="ＭＳ 明朝" w:cs="游ゴシック" w:hint="eastAsia"/>
        </w:rPr>
        <w:t>離着陸</w:t>
      </w:r>
      <w:r w:rsidRPr="00C12D10">
        <w:rPr>
          <w:rFonts w:ascii="ＭＳ 明朝" w:hAnsi="ＭＳ 明朝" w:cs="游ゴシック" w:hint="eastAsia"/>
        </w:rPr>
        <w:t>する航空機騒音により生活妨害等の</w:t>
      </w:r>
      <w:proofErr w:type="gramStart"/>
      <w:r w:rsidRPr="00C12D10">
        <w:rPr>
          <w:rFonts w:ascii="ＭＳ 明朝" w:hAnsi="ＭＳ 明朝" w:cs="游ゴシック" w:hint="eastAsia"/>
        </w:rPr>
        <w:t>被害を被る</w:t>
      </w:r>
      <w:proofErr w:type="gramEnd"/>
      <w:r w:rsidRPr="00C12D10">
        <w:rPr>
          <w:rFonts w:ascii="ＭＳ 明朝" w:hAnsi="ＭＳ 明朝" w:cs="游ゴシック" w:hint="eastAsia"/>
        </w:rPr>
        <w:t>おそれがある。</w:t>
      </w:r>
    </w:p>
    <w:p w14:paraId="52100E3F" w14:textId="77777777" w:rsidR="00C12D10" w:rsidRPr="00C12D10" w:rsidRDefault="00C12D10" w:rsidP="00C12D10">
      <w:pPr>
        <w:pStyle w:val="a7"/>
        <w:adjustRightInd/>
        <w:ind w:left="244" w:hanging="244"/>
        <w:rPr>
          <w:rFonts w:ascii="ＭＳ 明朝" w:cs="Times New Roman"/>
          <w:spacing w:val="2"/>
        </w:rPr>
      </w:pPr>
      <w:r w:rsidRPr="00C12D10">
        <w:rPr>
          <w:rFonts w:ascii="ＭＳ 明朝" w:hAnsi="ＭＳ 明朝" w:cs="游ゴシック" w:hint="eastAsia"/>
        </w:rPr>
        <w:t xml:space="preserve">　　しかしながら、</w:t>
      </w:r>
      <w:r w:rsidR="004A5365">
        <w:rPr>
          <w:rFonts w:ascii="ＭＳ 明朝" w:hAnsi="ＭＳ 明朝" w:cs="游ゴシック" w:hint="eastAsia"/>
        </w:rPr>
        <w:t>米軍基地から発生する</w:t>
      </w:r>
      <w:r w:rsidRPr="00C12D10">
        <w:rPr>
          <w:rFonts w:ascii="ＭＳ 明朝" w:hAnsi="ＭＳ 明朝" w:cs="游ゴシック" w:hint="eastAsia"/>
        </w:rPr>
        <w:t>騒音</w:t>
      </w:r>
      <w:r w:rsidR="004A5365">
        <w:rPr>
          <w:rFonts w:ascii="ＭＳ 明朝" w:hAnsi="ＭＳ 明朝" w:cs="游ゴシック" w:hint="eastAsia"/>
        </w:rPr>
        <w:t>の差止請求</w:t>
      </w:r>
      <w:r w:rsidRPr="00C12D10">
        <w:rPr>
          <w:rFonts w:ascii="ＭＳ 明朝" w:hAnsi="ＭＳ 明朝" w:cs="游ゴシック" w:hint="eastAsia"/>
        </w:rPr>
        <w:t>に対</w:t>
      </w:r>
      <w:r w:rsidR="004A5365">
        <w:rPr>
          <w:rFonts w:ascii="ＭＳ 明朝" w:hAnsi="ＭＳ 明朝" w:cs="游ゴシック" w:hint="eastAsia"/>
        </w:rPr>
        <w:t>しては、</w:t>
      </w:r>
      <w:r w:rsidRPr="00C12D10">
        <w:rPr>
          <w:rFonts w:ascii="ＭＳ 明朝" w:hAnsi="ＭＳ 明朝" w:cs="游ゴシック" w:hint="eastAsia"/>
        </w:rPr>
        <w:t>裁判所はいわゆる第三者行為論及び主権免除論によって</w:t>
      </w:r>
      <w:r w:rsidR="004A5365">
        <w:rPr>
          <w:rFonts w:ascii="ＭＳ 明朝" w:hAnsi="ＭＳ 明朝" w:cs="游ゴシック" w:hint="eastAsia"/>
        </w:rPr>
        <w:t>住民らの求め</w:t>
      </w:r>
      <w:r w:rsidRPr="00C12D10">
        <w:rPr>
          <w:rFonts w:ascii="ＭＳ 明朝" w:hAnsi="ＭＳ 明朝" w:cs="游ゴシック" w:hint="eastAsia"/>
        </w:rPr>
        <w:t>を退けてきた。</w:t>
      </w:r>
    </w:p>
    <w:p w14:paraId="4CFF6D50" w14:textId="77777777" w:rsidR="00C12D10" w:rsidRPr="00C12D10" w:rsidRDefault="00C12D10" w:rsidP="00C12D10">
      <w:pPr>
        <w:pStyle w:val="a7"/>
        <w:adjustRightInd/>
        <w:ind w:left="244" w:hanging="244"/>
        <w:rPr>
          <w:rFonts w:ascii="ＭＳ 明朝" w:cs="Times New Roman"/>
          <w:spacing w:val="2"/>
        </w:rPr>
      </w:pPr>
      <w:r w:rsidRPr="00C12D10">
        <w:rPr>
          <w:rFonts w:ascii="ＭＳ 明朝" w:hAnsi="ＭＳ 明朝" w:cs="游ゴシック" w:hint="eastAsia"/>
        </w:rPr>
        <w:t xml:space="preserve">　　このように米軍基地について、将来騒音等による被害を受け得る周辺住民らが違法な騒音に晒されないために裁判で争うことができるのは、「今」「ここ」しかないのである。</w:t>
      </w:r>
    </w:p>
    <w:p w14:paraId="7E117B83" w14:textId="77777777" w:rsidR="00C12D10" w:rsidRPr="00C12D10" w:rsidRDefault="00C12D10" w:rsidP="00C12D10">
      <w:pPr>
        <w:pStyle w:val="a7"/>
        <w:adjustRightInd/>
        <w:ind w:left="244" w:hanging="244"/>
        <w:rPr>
          <w:rFonts w:ascii="ＭＳ 明朝" w:cs="Times New Roman"/>
          <w:spacing w:val="2"/>
        </w:rPr>
      </w:pPr>
      <w:r w:rsidRPr="00C12D10">
        <w:rPr>
          <w:rFonts w:ascii="ＭＳ 明朝" w:hAnsi="ＭＳ 明朝" w:cs="游ゴシック" w:hint="eastAsia"/>
        </w:rPr>
        <w:t xml:space="preserve">　　原告らの主張を認めない司法は、いつ、基地被害を受けている住民の被害</w:t>
      </w:r>
      <w:r w:rsidR="004A5365">
        <w:rPr>
          <w:rFonts w:ascii="ＭＳ 明朝" w:hAnsi="ＭＳ 明朝" w:cs="游ゴシック" w:hint="eastAsia"/>
        </w:rPr>
        <w:t>に</w:t>
      </w:r>
      <w:r w:rsidRPr="00C12D10">
        <w:rPr>
          <w:rFonts w:ascii="ＭＳ 明朝" w:hAnsi="ＭＳ 明朝" w:cs="游ゴシック" w:hint="eastAsia"/>
        </w:rPr>
        <w:t>向き合うのか。私たちは、国</w:t>
      </w:r>
      <w:r w:rsidR="004A5365">
        <w:rPr>
          <w:rFonts w:ascii="ＭＳ 明朝" w:hAnsi="ＭＳ 明朝" w:cs="游ゴシック" w:hint="eastAsia"/>
        </w:rPr>
        <w:t>に</w:t>
      </w:r>
      <w:r w:rsidRPr="00C12D10">
        <w:rPr>
          <w:rFonts w:ascii="ＭＳ 明朝" w:hAnsi="ＭＳ 明朝" w:cs="游ゴシック" w:hint="eastAsia"/>
        </w:rPr>
        <w:t>よってもたらされている市民の被害に目を向けようとしない裁判官に対して、</w:t>
      </w:r>
      <w:r w:rsidR="00662A91">
        <w:rPr>
          <w:rFonts w:ascii="ＭＳ 明朝" w:hAnsi="ＭＳ 明朝" w:cs="游ゴシック" w:hint="eastAsia"/>
        </w:rPr>
        <w:t>強く</w:t>
      </w:r>
      <w:r w:rsidRPr="00C12D10">
        <w:rPr>
          <w:rFonts w:ascii="ＭＳ 明朝" w:hAnsi="ＭＳ 明朝" w:cs="游ゴシック" w:hint="eastAsia"/>
        </w:rPr>
        <w:t>抗議する。</w:t>
      </w:r>
    </w:p>
    <w:p w14:paraId="7FBC4E8A" w14:textId="77777777" w:rsidR="00C12D10" w:rsidRPr="00C12D10" w:rsidRDefault="00C12D10" w:rsidP="00C12D10">
      <w:pPr>
        <w:pStyle w:val="a7"/>
        <w:wordWrap w:val="0"/>
        <w:adjustRightInd/>
        <w:jc w:val="right"/>
        <w:rPr>
          <w:rFonts w:ascii="ＭＳ 明朝" w:cs="Times New Roman"/>
          <w:spacing w:val="2"/>
        </w:rPr>
      </w:pPr>
      <w:r w:rsidRPr="00C12D10">
        <w:rPr>
          <w:rFonts w:ascii="ＭＳ 明朝" w:hAnsi="ＭＳ 明朝" w:cs="游ゴシック" w:hint="eastAsia"/>
        </w:rPr>
        <w:t>２０２２年４月２６日</w:t>
      </w:r>
    </w:p>
    <w:p w14:paraId="761E115F" w14:textId="77777777" w:rsidR="00C12D10" w:rsidRPr="00C12D10" w:rsidRDefault="00C12D10" w:rsidP="00C12D10">
      <w:pPr>
        <w:pStyle w:val="a7"/>
        <w:wordWrap w:val="0"/>
        <w:adjustRightInd/>
        <w:jc w:val="right"/>
        <w:rPr>
          <w:rFonts w:ascii="ＭＳ 明朝" w:cs="Times New Roman"/>
          <w:spacing w:val="2"/>
        </w:rPr>
      </w:pPr>
      <w:r w:rsidRPr="00C12D10">
        <w:rPr>
          <w:rFonts w:ascii="ＭＳ 明朝" w:hAnsi="ＭＳ 明朝" w:cs="游ゴシック" w:hint="eastAsia"/>
        </w:rPr>
        <w:t>国の違法を許さない住民の訴訟原告団</w:t>
      </w:r>
    </w:p>
    <w:p w14:paraId="7A8D527C" w14:textId="77777777" w:rsidR="00C12D10" w:rsidRPr="00C12D10" w:rsidRDefault="00C12D10" w:rsidP="00C12D10">
      <w:pPr>
        <w:pStyle w:val="a7"/>
        <w:wordWrap w:val="0"/>
        <w:adjustRightInd/>
        <w:jc w:val="right"/>
        <w:rPr>
          <w:rFonts w:ascii="ＭＳ 明朝" w:cs="Times New Roman"/>
          <w:spacing w:val="2"/>
        </w:rPr>
      </w:pPr>
      <w:r w:rsidRPr="00C12D10">
        <w:rPr>
          <w:rFonts w:ascii="ＭＳ 明朝" w:hAnsi="ＭＳ 明朝" w:cs="游ゴシック" w:hint="eastAsia"/>
        </w:rPr>
        <w:t>辺野古新基地建設に反対する弁護団</w:t>
      </w:r>
    </w:p>
    <w:p w14:paraId="1AA24B52" w14:textId="77777777" w:rsidR="0023284C" w:rsidRPr="00C12D10" w:rsidRDefault="0023284C">
      <w:pPr>
        <w:adjustRightInd/>
        <w:rPr>
          <w:rFonts w:ascii="ＭＳ 明朝" w:cs="Times New Roman"/>
          <w:spacing w:val="2"/>
        </w:rPr>
      </w:pPr>
    </w:p>
    <w:sectPr w:rsidR="0023284C" w:rsidRPr="00C12D10">
      <w:footerReference w:type="default" r:id="rId6"/>
      <w:type w:val="continuous"/>
      <w:pgSz w:w="11906" w:h="16838"/>
      <w:pgMar w:top="1700" w:right="1418" w:bottom="1700" w:left="1418" w:header="720" w:footer="720" w:gutter="0"/>
      <w:pgNumType w:start="1"/>
      <w:cols w:space="720"/>
      <w:noEndnote/>
      <w:docGrid w:type="linesAndChars" w:linePitch="51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B5CA" w14:textId="77777777" w:rsidR="0057136F" w:rsidRDefault="0057136F">
      <w:r>
        <w:separator/>
      </w:r>
    </w:p>
  </w:endnote>
  <w:endnote w:type="continuationSeparator" w:id="0">
    <w:p w14:paraId="75E571B7" w14:textId="77777777" w:rsidR="0057136F" w:rsidRDefault="0057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4644" w14:textId="77777777" w:rsidR="00DA2B81" w:rsidRDefault="00DA2B81">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Pr>
        <w:rFonts w:cs="Times New Roman"/>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2393" w14:textId="77777777" w:rsidR="0057136F" w:rsidRDefault="0057136F">
      <w:r>
        <w:rPr>
          <w:rFonts w:ascii="ＭＳ 明朝" w:cs="Times New Roman"/>
          <w:color w:val="auto"/>
          <w:sz w:val="2"/>
          <w:szCs w:val="2"/>
        </w:rPr>
        <w:continuationSeparator/>
      </w:r>
    </w:p>
  </w:footnote>
  <w:footnote w:type="continuationSeparator" w:id="0">
    <w:p w14:paraId="55FE87FB" w14:textId="77777777" w:rsidR="0057136F" w:rsidRDefault="005713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embedSystemFonts/>
  <w:bordersDoNotSurroundHeader/>
  <w:bordersDoNotSurroundFooter/>
  <w:proofState w:spelling="clean" w:grammar="clean"/>
  <w:defaultTabStop w:val="980"/>
  <w:hyphenationZone w:val="0"/>
  <w:drawingGridHorizontalSpacing w:val="819"/>
  <w:drawingGridVerticalSpacing w:val="51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84C"/>
    <w:rsid w:val="0008146F"/>
    <w:rsid w:val="000D4AB5"/>
    <w:rsid w:val="00157940"/>
    <w:rsid w:val="001B7D71"/>
    <w:rsid w:val="0023284C"/>
    <w:rsid w:val="002E562E"/>
    <w:rsid w:val="004A5365"/>
    <w:rsid w:val="0057136F"/>
    <w:rsid w:val="00662A91"/>
    <w:rsid w:val="00676E56"/>
    <w:rsid w:val="00706241"/>
    <w:rsid w:val="00757372"/>
    <w:rsid w:val="00830C3E"/>
    <w:rsid w:val="008832C8"/>
    <w:rsid w:val="008B2A8C"/>
    <w:rsid w:val="0093178C"/>
    <w:rsid w:val="00B27CFD"/>
    <w:rsid w:val="00C12D10"/>
    <w:rsid w:val="00DA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0FEF217"/>
  <w14:defaultImageDpi w14:val="0"/>
  <w15:docId w15:val="{A5359737-730E-4AF5-A7EB-A2426CA8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84C"/>
    <w:pPr>
      <w:tabs>
        <w:tab w:val="center" w:pos="4252"/>
        <w:tab w:val="right" w:pos="8504"/>
      </w:tabs>
      <w:snapToGrid w:val="0"/>
    </w:pPr>
  </w:style>
  <w:style w:type="character" w:customStyle="1" w:styleId="a4">
    <w:name w:val="ヘッダー (文字)"/>
    <w:basedOn w:val="a0"/>
    <w:link w:val="a3"/>
    <w:uiPriority w:val="99"/>
    <w:locked/>
    <w:rsid w:val="0023284C"/>
    <w:rPr>
      <w:rFonts w:cs="ＭＳ 明朝"/>
      <w:color w:val="000000"/>
      <w:kern w:val="0"/>
      <w:sz w:val="24"/>
      <w:szCs w:val="24"/>
    </w:rPr>
  </w:style>
  <w:style w:type="paragraph" w:styleId="a5">
    <w:name w:val="footer"/>
    <w:basedOn w:val="a"/>
    <w:link w:val="a6"/>
    <w:uiPriority w:val="99"/>
    <w:unhideWhenUsed/>
    <w:rsid w:val="0023284C"/>
    <w:pPr>
      <w:tabs>
        <w:tab w:val="center" w:pos="4252"/>
        <w:tab w:val="right" w:pos="8504"/>
      </w:tabs>
      <w:snapToGrid w:val="0"/>
    </w:pPr>
  </w:style>
  <w:style w:type="character" w:customStyle="1" w:styleId="a6">
    <w:name w:val="フッター (文字)"/>
    <w:basedOn w:val="a0"/>
    <w:link w:val="a5"/>
    <w:uiPriority w:val="99"/>
    <w:locked/>
    <w:rsid w:val="0023284C"/>
    <w:rPr>
      <w:rFonts w:cs="ＭＳ 明朝"/>
      <w:color w:val="000000"/>
      <w:kern w:val="0"/>
      <w:sz w:val="24"/>
      <w:szCs w:val="24"/>
    </w:rPr>
  </w:style>
  <w:style w:type="paragraph" w:customStyle="1" w:styleId="a7">
    <w:name w:val="標準(太郎文書スタイル)"/>
    <w:uiPriority w:val="99"/>
    <w:rsid w:val="00676E56"/>
    <w:pPr>
      <w:widowControl w:val="0"/>
      <w:overflowPunct w:val="0"/>
      <w:adjustRightInd w:val="0"/>
      <w:jc w:val="both"/>
      <w:textAlignment w:val="baseline"/>
    </w:pPr>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nozomi191201</dc:creator>
  <cp:keywords/>
  <dc:description/>
  <cp:lastModifiedBy>白 充</cp:lastModifiedBy>
  <cp:revision>2</cp:revision>
  <cp:lastPrinted>2022-04-26T06:48:00Z</cp:lastPrinted>
  <dcterms:created xsi:type="dcterms:W3CDTF">2022-04-26T11:43:00Z</dcterms:created>
  <dcterms:modified xsi:type="dcterms:W3CDTF">2022-04-26T11:43:00Z</dcterms:modified>
</cp:coreProperties>
</file>