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9FDB" w14:textId="3C155866" w:rsidR="001116B7" w:rsidRDefault="001116B7" w:rsidP="001116B7">
      <w:pPr>
        <w:pStyle w:val="a3"/>
        <w:adjustRightInd/>
        <w:ind w:firstLineChars="100" w:firstLine="248"/>
        <w:jc w:val="center"/>
        <w:rPr>
          <w:spacing w:val="2"/>
        </w:rPr>
      </w:pPr>
      <w:r>
        <w:rPr>
          <w:rFonts w:hint="eastAsia"/>
          <w:spacing w:val="2"/>
        </w:rPr>
        <w:t>要旨陳述（</w:t>
      </w:r>
      <w:r>
        <w:rPr>
          <w:rFonts w:hint="eastAsia"/>
          <w:spacing w:val="2"/>
        </w:rPr>
        <w:t>2023</w:t>
      </w:r>
      <w:r>
        <w:rPr>
          <w:rFonts w:hint="eastAsia"/>
          <w:spacing w:val="2"/>
        </w:rPr>
        <w:t>年</w:t>
      </w:r>
      <w:r>
        <w:rPr>
          <w:rFonts w:hint="eastAsia"/>
          <w:spacing w:val="2"/>
        </w:rPr>
        <w:t>4</w:t>
      </w:r>
      <w:r>
        <w:rPr>
          <w:rFonts w:hint="eastAsia"/>
          <w:spacing w:val="2"/>
        </w:rPr>
        <w:t>月</w:t>
      </w:r>
      <w:r>
        <w:rPr>
          <w:rFonts w:hint="eastAsia"/>
          <w:spacing w:val="2"/>
        </w:rPr>
        <w:t>27</w:t>
      </w:r>
      <w:r>
        <w:rPr>
          <w:rFonts w:hint="eastAsia"/>
          <w:spacing w:val="2"/>
        </w:rPr>
        <w:t>日期日）</w:t>
      </w:r>
    </w:p>
    <w:p w14:paraId="190B56EF" w14:textId="78C155FB" w:rsidR="001116B7" w:rsidRDefault="001116B7" w:rsidP="00D44C18">
      <w:pPr>
        <w:pStyle w:val="a3"/>
        <w:adjustRightInd/>
        <w:ind w:firstLineChars="100" w:firstLine="248"/>
        <w:rPr>
          <w:spacing w:val="2"/>
        </w:rPr>
      </w:pPr>
    </w:p>
    <w:p w14:paraId="29176140" w14:textId="42873DA7" w:rsidR="00D44C18" w:rsidRDefault="001116B7" w:rsidP="00D44C18">
      <w:pPr>
        <w:pStyle w:val="a3"/>
        <w:adjustRightInd/>
        <w:ind w:firstLineChars="100" w:firstLine="248"/>
        <w:rPr>
          <w:spacing w:val="2"/>
        </w:rPr>
      </w:pPr>
      <w:r>
        <w:rPr>
          <w:rFonts w:hint="eastAsia"/>
          <w:spacing w:val="2"/>
        </w:rPr>
        <w:t>控訴人ら訴訟代理人弁護士白より、</w:t>
      </w:r>
      <w:r w:rsidR="00D44C18">
        <w:rPr>
          <w:rFonts w:hint="eastAsia"/>
          <w:spacing w:val="2"/>
        </w:rPr>
        <w:t>控訴審において控訴人らから提出した、控訴理由書、第２６準備書面、第２７準備書面について、その要旨を陳述します。</w:t>
      </w:r>
    </w:p>
    <w:p w14:paraId="2D961861" w14:textId="406E844C" w:rsidR="00D44C18" w:rsidRDefault="00D44C18" w:rsidP="00D44C18">
      <w:pPr>
        <w:pStyle w:val="a3"/>
        <w:adjustRightInd/>
        <w:rPr>
          <w:rFonts w:ascii="ＭＳ 明朝" w:cs="Times New Roman" w:hint="eastAsia"/>
          <w:spacing w:val="2"/>
        </w:rPr>
      </w:pPr>
      <w:r>
        <w:rPr>
          <w:rFonts w:ascii="ＭＳ 明朝" w:cs="Times New Roman" w:hint="eastAsia"/>
          <w:spacing w:val="2"/>
        </w:rPr>
        <w:t>１</w:t>
      </w:r>
      <w:r w:rsidR="004D22CF">
        <w:rPr>
          <w:rFonts w:ascii="ＭＳ 明朝" w:cs="Times New Roman" w:hint="eastAsia"/>
          <w:spacing w:val="2"/>
        </w:rPr>
        <w:t xml:space="preserve">　</w:t>
      </w:r>
      <w:r>
        <w:rPr>
          <w:rFonts w:ascii="ＭＳ 明朝" w:cs="Times New Roman" w:hint="eastAsia"/>
          <w:spacing w:val="2"/>
        </w:rPr>
        <w:t>はじめに</w:t>
      </w:r>
      <w:r w:rsidR="001116B7">
        <w:rPr>
          <w:rFonts w:ascii="ＭＳ 明朝" w:cs="Times New Roman" w:hint="eastAsia"/>
          <w:spacing w:val="2"/>
        </w:rPr>
        <w:t>、本件の重要性について述べます。</w:t>
      </w:r>
    </w:p>
    <w:p w14:paraId="156F66C3" w14:textId="550951B9" w:rsidR="00D44C18" w:rsidRDefault="00155684" w:rsidP="00D44C18">
      <w:pPr>
        <w:pStyle w:val="a3"/>
        <w:adjustRightInd/>
        <w:ind w:leftChars="116" w:left="283" w:firstLineChars="100" w:firstLine="248"/>
        <w:rPr>
          <w:rFonts w:ascii="ＭＳ 明朝" w:cs="Times New Roman"/>
          <w:spacing w:val="2"/>
        </w:rPr>
      </w:pPr>
      <w:r>
        <w:rPr>
          <w:rFonts w:ascii="ＭＳ 明朝" w:cs="Times New Roman" w:hint="eastAsia"/>
          <w:spacing w:val="2"/>
        </w:rPr>
        <w:t>本件は、原告適格論とそれに伴う主張制限論、法治主義と法律による行政の原理、行政裁量統制論等、行政法上極めて重要な論点が</w:t>
      </w:r>
      <w:r w:rsidR="001403E1">
        <w:rPr>
          <w:rFonts w:ascii="ＭＳ 明朝" w:cs="Times New Roman" w:hint="eastAsia"/>
          <w:spacing w:val="2"/>
        </w:rPr>
        <w:t>争点となっている</w:t>
      </w:r>
      <w:r w:rsidR="00D44C18">
        <w:rPr>
          <w:rFonts w:ascii="ＭＳ 明朝" w:cs="Times New Roman" w:hint="eastAsia"/>
          <w:spacing w:val="2"/>
        </w:rPr>
        <w:t>事件です</w:t>
      </w:r>
      <w:r>
        <w:rPr>
          <w:rFonts w:ascii="ＭＳ 明朝" w:cs="Times New Roman" w:hint="eastAsia"/>
          <w:spacing w:val="2"/>
        </w:rPr>
        <w:t>。</w:t>
      </w:r>
    </w:p>
    <w:p w14:paraId="0E021D66" w14:textId="742341B5" w:rsidR="00D44C18" w:rsidRDefault="001403E1" w:rsidP="00D44C18">
      <w:pPr>
        <w:pStyle w:val="a3"/>
        <w:adjustRightInd/>
        <w:ind w:leftChars="116" w:left="283" w:firstLineChars="100" w:firstLine="248"/>
        <w:rPr>
          <w:rFonts w:ascii="ＭＳ 明朝" w:cs="Times New Roman"/>
          <w:spacing w:val="2"/>
        </w:rPr>
      </w:pPr>
      <w:r>
        <w:rPr>
          <w:rFonts w:ascii="ＭＳ 明朝" w:cs="Times New Roman" w:hint="eastAsia"/>
          <w:spacing w:val="2"/>
        </w:rPr>
        <w:t>それゆえ、控訴人らは原審において、行政法学者の意見書も提出して</w:t>
      </w:r>
      <w:r w:rsidR="00D44C18">
        <w:rPr>
          <w:rFonts w:ascii="ＭＳ 明朝" w:cs="Times New Roman" w:hint="eastAsia"/>
          <w:spacing w:val="2"/>
        </w:rPr>
        <w:t>いました</w:t>
      </w:r>
      <w:r>
        <w:rPr>
          <w:rFonts w:ascii="ＭＳ 明朝" w:cs="Times New Roman" w:hint="eastAsia"/>
          <w:spacing w:val="2"/>
        </w:rPr>
        <w:t>。</w:t>
      </w:r>
    </w:p>
    <w:p w14:paraId="654A4455" w14:textId="7C9F81C9" w:rsidR="00D44C18" w:rsidRDefault="001403E1" w:rsidP="00D44C18">
      <w:pPr>
        <w:pStyle w:val="a3"/>
        <w:adjustRightInd/>
        <w:ind w:leftChars="116" w:left="283" w:firstLineChars="100" w:firstLine="248"/>
        <w:rPr>
          <w:rFonts w:ascii="ＭＳ 明朝" w:cs="Times New Roman"/>
          <w:spacing w:val="2"/>
        </w:rPr>
      </w:pPr>
      <w:r>
        <w:rPr>
          <w:rFonts w:ascii="ＭＳ 明朝" w:cs="Times New Roman" w:hint="eastAsia"/>
          <w:spacing w:val="2"/>
        </w:rPr>
        <w:t>しかしながら</w:t>
      </w:r>
      <w:r w:rsidR="001F6120">
        <w:rPr>
          <w:rFonts w:ascii="ＭＳ 明朝" w:cs="Times New Roman" w:hint="eastAsia"/>
          <w:spacing w:val="2"/>
        </w:rPr>
        <w:t>原判決</w:t>
      </w:r>
      <w:r>
        <w:rPr>
          <w:rFonts w:ascii="ＭＳ 明朝" w:cs="Times New Roman" w:hint="eastAsia"/>
          <w:spacing w:val="2"/>
        </w:rPr>
        <w:t>は、控訴人らが提出した意見書について何ら言及することなく</w:t>
      </w:r>
      <w:r w:rsidR="001116B7">
        <w:rPr>
          <w:rFonts w:ascii="ＭＳ 明朝" w:cs="Times New Roman" w:hint="eastAsia"/>
          <w:spacing w:val="2"/>
        </w:rPr>
        <w:t>、</w:t>
      </w:r>
      <w:r w:rsidR="00D44C18">
        <w:rPr>
          <w:rFonts w:ascii="ＭＳ 明朝" w:cs="Times New Roman" w:hint="eastAsia"/>
          <w:spacing w:val="2"/>
        </w:rPr>
        <w:t>原告適格論</w:t>
      </w:r>
      <w:r w:rsidR="001116B7">
        <w:rPr>
          <w:rFonts w:ascii="ＭＳ 明朝" w:cs="Times New Roman" w:hint="eastAsia"/>
          <w:spacing w:val="2"/>
        </w:rPr>
        <w:t>ないし</w:t>
      </w:r>
      <w:r w:rsidR="00D44C18">
        <w:rPr>
          <w:rFonts w:ascii="ＭＳ 明朝" w:cs="Times New Roman" w:hint="eastAsia"/>
          <w:spacing w:val="2"/>
        </w:rPr>
        <w:t>主張制限論</w:t>
      </w:r>
      <w:r w:rsidR="001116B7">
        <w:rPr>
          <w:rFonts w:ascii="ＭＳ 明朝" w:cs="Times New Roman" w:hint="eastAsia"/>
          <w:spacing w:val="2"/>
        </w:rPr>
        <w:t>により</w:t>
      </w:r>
      <w:r w:rsidR="00D44C18">
        <w:rPr>
          <w:rFonts w:ascii="ＭＳ 明朝" w:cs="Times New Roman" w:hint="eastAsia"/>
          <w:spacing w:val="2"/>
        </w:rPr>
        <w:t>控訴人らの請求を却下し</w:t>
      </w:r>
      <w:r w:rsidR="001116B7">
        <w:rPr>
          <w:rFonts w:ascii="ＭＳ 明朝" w:cs="Times New Roman" w:hint="eastAsia"/>
          <w:spacing w:val="2"/>
        </w:rPr>
        <w:t>ており</w:t>
      </w:r>
      <w:r w:rsidR="00030097">
        <w:rPr>
          <w:rFonts w:ascii="ＭＳ 明朝" w:cs="Times New Roman" w:hint="eastAsia"/>
          <w:spacing w:val="2"/>
        </w:rPr>
        <w:t>、説得力に欠くものと言わざるを得</w:t>
      </w:r>
      <w:r w:rsidR="001116B7">
        <w:rPr>
          <w:rFonts w:ascii="ＭＳ 明朝" w:cs="Times New Roman" w:hint="eastAsia"/>
          <w:spacing w:val="2"/>
        </w:rPr>
        <w:t>ないものでした</w:t>
      </w:r>
      <w:r w:rsidR="00030097">
        <w:rPr>
          <w:rFonts w:ascii="ＭＳ 明朝" w:cs="Times New Roman" w:hint="eastAsia"/>
          <w:spacing w:val="2"/>
        </w:rPr>
        <w:t>。</w:t>
      </w:r>
    </w:p>
    <w:p w14:paraId="7B774CC8" w14:textId="2D775D8C" w:rsidR="00D44C18" w:rsidRDefault="00D44C18" w:rsidP="00D44C18">
      <w:pPr>
        <w:pStyle w:val="a3"/>
        <w:adjustRightInd/>
        <w:ind w:leftChars="116" w:left="283" w:firstLineChars="100" w:firstLine="248"/>
        <w:rPr>
          <w:rFonts w:ascii="ＭＳ 明朝" w:cs="Times New Roman" w:hint="eastAsia"/>
          <w:spacing w:val="2"/>
        </w:rPr>
      </w:pPr>
      <w:r>
        <w:rPr>
          <w:rFonts w:ascii="ＭＳ 明朝" w:cs="Times New Roman" w:hint="eastAsia"/>
          <w:spacing w:val="2"/>
        </w:rPr>
        <w:t>控訴審では、原判決が示したこの原告適格論、主張制限論を批判するものとして、行訴法改正にも携わった</w:t>
      </w:r>
      <w:r>
        <w:rPr>
          <w:rFonts w:ascii="ＭＳ 明朝" w:cs="Times New Roman" w:hint="eastAsia"/>
          <w:spacing w:val="2"/>
        </w:rPr>
        <w:t>福井秀夫教授による詳細な意見書を甲１８６号証として</w:t>
      </w:r>
      <w:r>
        <w:rPr>
          <w:rFonts w:ascii="ＭＳ 明朝" w:cs="Times New Roman" w:hint="eastAsia"/>
          <w:spacing w:val="2"/>
        </w:rPr>
        <w:t>提出しています</w:t>
      </w:r>
      <w:r>
        <w:rPr>
          <w:rFonts w:ascii="ＭＳ 明朝" w:cs="Times New Roman" w:hint="eastAsia"/>
          <w:spacing w:val="2"/>
        </w:rPr>
        <w:t>。</w:t>
      </w:r>
    </w:p>
    <w:p w14:paraId="6F7F224D" w14:textId="4BA09C1F" w:rsidR="00020AFA" w:rsidRDefault="00155684" w:rsidP="00D44C18">
      <w:pPr>
        <w:pStyle w:val="a3"/>
        <w:adjustRightInd/>
        <w:ind w:leftChars="116" w:left="283" w:firstLineChars="100" w:firstLine="248"/>
        <w:rPr>
          <w:rFonts w:ascii="ＭＳ 明朝" w:cs="Times New Roman"/>
          <w:spacing w:val="2"/>
        </w:rPr>
      </w:pPr>
      <w:r>
        <w:rPr>
          <w:rFonts w:ascii="ＭＳ 明朝" w:cs="Times New Roman" w:hint="eastAsia"/>
          <w:spacing w:val="2"/>
        </w:rPr>
        <w:t>裁判所におかれては、本件の重要性、特にその判断が</w:t>
      </w:r>
      <w:r w:rsidR="001116B7">
        <w:rPr>
          <w:rFonts w:ascii="ＭＳ 明朝" w:cs="Times New Roman" w:hint="eastAsia"/>
          <w:spacing w:val="2"/>
        </w:rPr>
        <w:t>、行政法における</w:t>
      </w:r>
      <w:r>
        <w:rPr>
          <w:rFonts w:ascii="ＭＳ 明朝" w:cs="Times New Roman" w:hint="eastAsia"/>
          <w:spacing w:val="2"/>
        </w:rPr>
        <w:t>今後の重要な解釈指針となることを認識していただき、</w:t>
      </w:r>
      <w:r w:rsidR="00020AFA">
        <w:rPr>
          <w:rFonts w:ascii="ＭＳ 明朝" w:cs="Times New Roman" w:hint="eastAsia"/>
          <w:spacing w:val="2"/>
        </w:rPr>
        <w:t>控訴人らが提出する</w:t>
      </w:r>
      <w:r w:rsidR="00D44C18">
        <w:rPr>
          <w:rFonts w:ascii="ＭＳ 明朝" w:cs="Times New Roman" w:hint="eastAsia"/>
          <w:spacing w:val="2"/>
        </w:rPr>
        <w:t>これら</w:t>
      </w:r>
      <w:r w:rsidR="00020AFA">
        <w:rPr>
          <w:rFonts w:ascii="ＭＳ 明朝" w:cs="Times New Roman" w:hint="eastAsia"/>
          <w:spacing w:val="2"/>
        </w:rPr>
        <w:t>意見書を含む</w:t>
      </w:r>
      <w:r>
        <w:rPr>
          <w:rFonts w:ascii="ＭＳ 明朝" w:cs="Times New Roman" w:hint="eastAsia"/>
          <w:spacing w:val="2"/>
        </w:rPr>
        <w:t>提出証拠も詳細に検討しながら、本件に</w:t>
      </w:r>
      <w:r w:rsidR="00020AFA">
        <w:rPr>
          <w:rFonts w:ascii="ＭＳ 明朝" w:cs="Times New Roman" w:hint="eastAsia"/>
          <w:spacing w:val="2"/>
        </w:rPr>
        <w:t>取り組んでいただきたい</w:t>
      </w:r>
      <w:r w:rsidR="00D44C18">
        <w:rPr>
          <w:rFonts w:ascii="ＭＳ 明朝" w:cs="Times New Roman" w:hint="eastAsia"/>
          <w:spacing w:val="2"/>
        </w:rPr>
        <w:t>と思います</w:t>
      </w:r>
      <w:r w:rsidR="00200698">
        <w:rPr>
          <w:rFonts w:ascii="ＭＳ 明朝" w:cs="Times New Roman" w:hint="eastAsia"/>
          <w:spacing w:val="2"/>
        </w:rPr>
        <w:t>。</w:t>
      </w:r>
    </w:p>
    <w:p w14:paraId="4D8AA5C3" w14:textId="209E0E21" w:rsidR="00D44C18" w:rsidRDefault="00D44C18" w:rsidP="00D44C18">
      <w:pPr>
        <w:pStyle w:val="a3"/>
        <w:adjustRightInd/>
        <w:rPr>
          <w:rFonts w:ascii="ＭＳ 明朝" w:cs="Times New Roman" w:hint="eastAsia"/>
          <w:spacing w:val="2"/>
        </w:rPr>
      </w:pPr>
      <w:r>
        <w:rPr>
          <w:rFonts w:ascii="ＭＳ 明朝" w:cs="Times New Roman" w:hint="eastAsia"/>
          <w:spacing w:val="2"/>
        </w:rPr>
        <w:t>２</w:t>
      </w:r>
      <w:r w:rsidR="004D22CF">
        <w:rPr>
          <w:rFonts w:ascii="ＭＳ 明朝" w:cs="Times New Roman" w:hint="eastAsia"/>
          <w:spacing w:val="2"/>
        </w:rPr>
        <w:t xml:space="preserve">　</w:t>
      </w:r>
      <w:r w:rsidR="001116B7">
        <w:rPr>
          <w:rFonts w:ascii="ＭＳ 明朝" w:cs="Times New Roman" w:hint="eastAsia"/>
          <w:spacing w:val="2"/>
        </w:rPr>
        <w:t>以上を前提に、</w:t>
      </w:r>
      <w:r>
        <w:rPr>
          <w:rFonts w:ascii="ＭＳ 明朝" w:cs="Times New Roman" w:hint="eastAsia"/>
          <w:spacing w:val="2"/>
        </w:rPr>
        <w:t>原告適格論</w:t>
      </w:r>
      <w:r w:rsidR="001116B7">
        <w:rPr>
          <w:rFonts w:ascii="ＭＳ 明朝" w:cs="Times New Roman" w:hint="eastAsia"/>
          <w:spacing w:val="2"/>
        </w:rPr>
        <w:t>から述べたいと思います</w:t>
      </w:r>
      <w:r w:rsidR="002C57F0">
        <w:rPr>
          <w:rFonts w:ascii="ＭＳ 明朝" w:cs="Times New Roman" w:hint="eastAsia"/>
          <w:spacing w:val="2"/>
        </w:rPr>
        <w:t>。</w:t>
      </w:r>
    </w:p>
    <w:p w14:paraId="4A6EF630" w14:textId="3745938C" w:rsidR="004D22CF" w:rsidRDefault="004D22CF" w:rsidP="004D22CF">
      <w:pPr>
        <w:pStyle w:val="a3"/>
        <w:adjustRightInd/>
        <w:rPr>
          <w:rFonts w:ascii="ＭＳ 明朝" w:cs="Times New Roman" w:hint="eastAsia"/>
          <w:spacing w:val="2"/>
        </w:rPr>
      </w:pPr>
      <w:r>
        <w:rPr>
          <w:rFonts w:ascii="ＭＳ 明朝" w:cs="Times New Roman" w:hint="eastAsia"/>
          <w:spacing w:val="2"/>
        </w:rPr>
        <w:t>（１）</w:t>
      </w:r>
      <w:r w:rsidR="002C57F0">
        <w:rPr>
          <w:rFonts w:ascii="ＭＳ 明朝" w:cs="Times New Roman" w:hint="eastAsia"/>
          <w:spacing w:val="2"/>
        </w:rPr>
        <w:t>最初に、</w:t>
      </w:r>
      <w:r>
        <w:rPr>
          <w:rFonts w:ascii="ＭＳ 明朝" w:cs="Times New Roman" w:hint="eastAsia"/>
          <w:spacing w:val="2"/>
        </w:rPr>
        <w:t>裁判を受ける権利（憲法３２条）について</w:t>
      </w:r>
      <w:r w:rsidR="002C57F0">
        <w:rPr>
          <w:rFonts w:ascii="ＭＳ 明朝" w:cs="Times New Roman" w:hint="eastAsia"/>
          <w:spacing w:val="2"/>
        </w:rPr>
        <w:t>確認します。</w:t>
      </w:r>
    </w:p>
    <w:p w14:paraId="6D7C13F5" w14:textId="6C9C7CDC" w:rsidR="008D6266" w:rsidRDefault="008D6266" w:rsidP="004D22CF">
      <w:pPr>
        <w:pStyle w:val="a3"/>
        <w:adjustRightInd/>
        <w:ind w:leftChars="174" w:left="425" w:firstLineChars="100" w:firstLine="248"/>
        <w:rPr>
          <w:rFonts w:ascii="ＭＳ 明朝" w:cs="Times New Roman"/>
          <w:spacing w:val="2"/>
        </w:rPr>
      </w:pPr>
      <w:r>
        <w:rPr>
          <w:rFonts w:ascii="ＭＳ 明朝" w:cs="Times New Roman" w:hint="eastAsia"/>
          <w:spacing w:val="2"/>
        </w:rPr>
        <w:t>憲法３２条は、「裁判を受ける権利」を保障しています。</w:t>
      </w:r>
    </w:p>
    <w:p w14:paraId="63BD5162" w14:textId="552A8BF9" w:rsidR="008D6266" w:rsidRDefault="008D6266" w:rsidP="004D22CF">
      <w:pPr>
        <w:pStyle w:val="a3"/>
        <w:adjustRightInd/>
        <w:ind w:leftChars="174" w:left="425" w:firstLineChars="100" w:firstLine="248"/>
        <w:rPr>
          <w:rFonts w:ascii="ＭＳ 明朝" w:cs="Times New Roman"/>
          <w:spacing w:val="2"/>
        </w:rPr>
      </w:pPr>
      <w:r>
        <w:rPr>
          <w:rFonts w:ascii="ＭＳ 明朝" w:cs="Times New Roman" w:hint="eastAsia"/>
          <w:spacing w:val="2"/>
        </w:rPr>
        <w:t>それゆえ、原告適格に関する法の解釈適用を誤</w:t>
      </w:r>
      <w:r w:rsidR="001116B7">
        <w:rPr>
          <w:rFonts w:ascii="ＭＳ 明朝" w:cs="Times New Roman" w:hint="eastAsia"/>
          <w:spacing w:val="2"/>
        </w:rPr>
        <w:t>った原判決</w:t>
      </w:r>
      <w:r>
        <w:rPr>
          <w:rFonts w:ascii="ＭＳ 明朝" w:cs="Times New Roman" w:hint="eastAsia"/>
          <w:spacing w:val="2"/>
        </w:rPr>
        <w:t>は、裁判を受ける権利という憲法上の権利を侵害するものであ</w:t>
      </w:r>
      <w:r w:rsidR="001116B7">
        <w:rPr>
          <w:rFonts w:ascii="ＭＳ 明朝" w:cs="Times New Roman" w:hint="eastAsia"/>
          <w:spacing w:val="2"/>
        </w:rPr>
        <w:t>った</w:t>
      </w:r>
      <w:r>
        <w:rPr>
          <w:rFonts w:ascii="ＭＳ 明朝" w:cs="Times New Roman" w:hint="eastAsia"/>
          <w:spacing w:val="2"/>
        </w:rPr>
        <w:t>ということを、</w:t>
      </w:r>
      <w:r w:rsidR="001116B7">
        <w:rPr>
          <w:rFonts w:ascii="ＭＳ 明朝" w:cs="Times New Roman" w:hint="eastAsia"/>
          <w:spacing w:val="2"/>
        </w:rPr>
        <w:t>控訴審</w:t>
      </w:r>
      <w:r>
        <w:rPr>
          <w:rFonts w:ascii="ＭＳ 明朝" w:cs="Times New Roman" w:hint="eastAsia"/>
          <w:spacing w:val="2"/>
        </w:rPr>
        <w:t>においては充分に念頭に置いていただきたいと</w:t>
      </w:r>
      <w:r w:rsidR="001116B7">
        <w:rPr>
          <w:rFonts w:ascii="ＭＳ 明朝" w:cs="Times New Roman" w:hint="eastAsia"/>
          <w:spacing w:val="2"/>
        </w:rPr>
        <w:t>思います</w:t>
      </w:r>
      <w:r>
        <w:rPr>
          <w:rFonts w:ascii="ＭＳ 明朝" w:cs="Times New Roman" w:hint="eastAsia"/>
          <w:spacing w:val="2"/>
        </w:rPr>
        <w:t>。</w:t>
      </w:r>
    </w:p>
    <w:p w14:paraId="6FD617FD" w14:textId="18113DCA" w:rsidR="004D22CF" w:rsidRDefault="004D22CF" w:rsidP="001116B7">
      <w:pPr>
        <w:pStyle w:val="a3"/>
        <w:adjustRightInd/>
        <w:ind w:left="424" w:hangingChars="171" w:hanging="424"/>
        <w:rPr>
          <w:rFonts w:ascii="ＭＳ 明朝" w:cs="Times New Roman" w:hint="eastAsia"/>
          <w:spacing w:val="2"/>
        </w:rPr>
      </w:pPr>
      <w:r>
        <w:rPr>
          <w:rFonts w:ascii="ＭＳ 明朝" w:cs="Times New Roman" w:hint="eastAsia"/>
          <w:spacing w:val="2"/>
        </w:rPr>
        <w:lastRenderedPageBreak/>
        <w:t>（２）</w:t>
      </w:r>
      <w:r w:rsidR="001116B7">
        <w:rPr>
          <w:rFonts w:ascii="ＭＳ 明朝" w:cs="Times New Roman" w:hint="eastAsia"/>
          <w:spacing w:val="2"/>
        </w:rPr>
        <w:t>その上で</w:t>
      </w:r>
      <w:r w:rsidR="002C57F0">
        <w:rPr>
          <w:rFonts w:ascii="ＭＳ 明朝" w:cs="Times New Roman" w:hint="eastAsia"/>
          <w:spacing w:val="2"/>
        </w:rPr>
        <w:t>、</w:t>
      </w:r>
      <w:r w:rsidR="001116B7">
        <w:rPr>
          <w:rFonts w:ascii="ＭＳ 明朝" w:cs="Times New Roman" w:hint="eastAsia"/>
          <w:spacing w:val="2"/>
        </w:rPr>
        <w:t>原告適格判断が</w:t>
      </w:r>
      <w:r>
        <w:rPr>
          <w:rFonts w:ascii="ＭＳ 明朝" w:cs="Times New Roman" w:hint="eastAsia"/>
          <w:spacing w:val="2"/>
        </w:rPr>
        <w:t>撤回の根拠理由となった条項に限られないこと</w:t>
      </w:r>
      <w:r w:rsidR="002C57F0">
        <w:rPr>
          <w:rFonts w:ascii="ＭＳ 明朝" w:cs="Times New Roman" w:hint="eastAsia"/>
          <w:spacing w:val="2"/>
        </w:rPr>
        <w:t>について述べます。</w:t>
      </w:r>
    </w:p>
    <w:p w14:paraId="55ABEA93" w14:textId="2D6F93D9" w:rsidR="008D6266" w:rsidRDefault="008D6266" w:rsidP="004D22CF">
      <w:pPr>
        <w:pStyle w:val="a3"/>
        <w:adjustRightInd/>
        <w:ind w:leftChars="174" w:left="425" w:firstLineChars="100" w:firstLine="248"/>
        <w:rPr>
          <w:rFonts w:ascii="ＭＳ 明朝" w:cs="Times New Roman"/>
          <w:spacing w:val="2"/>
        </w:rPr>
      </w:pPr>
      <w:r>
        <w:rPr>
          <w:rFonts w:ascii="ＭＳ 明朝" w:cs="Times New Roman" w:hint="eastAsia"/>
          <w:spacing w:val="2"/>
        </w:rPr>
        <w:t>原判決は、原告適格の判断に際し、</w:t>
      </w:r>
      <w:r w:rsidRPr="0045325E">
        <w:rPr>
          <w:rFonts w:ascii="ＭＳ 明朝" w:cs="Times New Roman" w:hint="eastAsia"/>
          <w:spacing w:val="2"/>
        </w:rPr>
        <w:t>「</w:t>
      </w:r>
      <w:r>
        <w:rPr>
          <w:rFonts w:ascii="ＭＳ 明朝" w:cs="Times New Roman" w:hint="eastAsia"/>
          <w:spacing w:val="2"/>
        </w:rPr>
        <w:t>公有水面埋立</w:t>
      </w:r>
      <w:r w:rsidRPr="0045325E">
        <w:rPr>
          <w:rFonts w:ascii="ＭＳ 明朝" w:cs="Times New Roman" w:hint="eastAsia"/>
          <w:spacing w:val="2"/>
        </w:rPr>
        <w:t>法４条１項３号ないし６号については、当初の埋立承認によってその要件を満たすことが前提とされているのであるから、本件裁決によって害されることとなる利益は</w:t>
      </w:r>
      <w:r>
        <w:rPr>
          <w:rFonts w:ascii="ＭＳ 明朝" w:cs="Times New Roman" w:hint="eastAsia"/>
          <w:spacing w:val="2"/>
        </w:rPr>
        <w:t>、撤回の根拠理由となった</w:t>
      </w:r>
      <w:r w:rsidRPr="0045325E">
        <w:rPr>
          <w:rFonts w:ascii="ＭＳ 明朝" w:cs="Times New Roman" w:hint="eastAsia"/>
          <w:spacing w:val="2"/>
        </w:rPr>
        <w:t>公水法４条１項１号及び２号が保護する利益に限られる」と理解して</w:t>
      </w:r>
      <w:r w:rsidR="00F23DA5">
        <w:rPr>
          <w:rFonts w:ascii="ＭＳ 明朝" w:cs="Times New Roman" w:hint="eastAsia"/>
          <w:spacing w:val="2"/>
        </w:rPr>
        <w:t>います</w:t>
      </w:r>
      <w:r w:rsidR="004D22CF">
        <w:rPr>
          <w:rFonts w:ascii="ＭＳ 明朝" w:cs="Times New Roman" w:hint="eastAsia"/>
          <w:spacing w:val="2"/>
        </w:rPr>
        <w:t>。</w:t>
      </w:r>
    </w:p>
    <w:p w14:paraId="36ACAB37" w14:textId="40406499" w:rsidR="008D6266" w:rsidRPr="0045325E" w:rsidRDefault="008D6266" w:rsidP="004D22CF">
      <w:pPr>
        <w:pStyle w:val="a3"/>
        <w:adjustRightInd/>
        <w:ind w:leftChars="174" w:left="425" w:firstLineChars="100" w:firstLine="248"/>
        <w:rPr>
          <w:rFonts w:ascii="ＭＳ 明朝" w:cs="Times New Roman"/>
          <w:spacing w:val="2"/>
        </w:rPr>
      </w:pPr>
      <w:r w:rsidRPr="0045325E">
        <w:rPr>
          <w:rFonts w:ascii="ＭＳ 明朝" w:cs="Times New Roman" w:hint="eastAsia"/>
          <w:spacing w:val="2"/>
        </w:rPr>
        <w:t>しかしながら、このような</w:t>
      </w:r>
      <w:r>
        <w:rPr>
          <w:rFonts w:ascii="ＭＳ 明朝" w:cs="Times New Roman" w:hint="eastAsia"/>
          <w:spacing w:val="2"/>
        </w:rPr>
        <w:t>原判決の</w:t>
      </w:r>
      <w:r w:rsidRPr="0045325E">
        <w:rPr>
          <w:rFonts w:ascii="ＭＳ 明朝" w:cs="Times New Roman" w:hint="eastAsia"/>
          <w:spacing w:val="2"/>
        </w:rPr>
        <w:t>理解は、</w:t>
      </w:r>
      <w:r w:rsidR="00F23DA5">
        <w:rPr>
          <w:rFonts w:ascii="ＭＳ 明朝" w:cs="Times New Roman" w:hint="eastAsia"/>
          <w:spacing w:val="2"/>
        </w:rPr>
        <w:t>改正</w:t>
      </w:r>
      <w:r w:rsidR="00F23DA5" w:rsidRPr="0045325E">
        <w:rPr>
          <w:rFonts w:ascii="ＭＳ 明朝" w:cs="Times New Roman" w:hint="eastAsia"/>
          <w:spacing w:val="2"/>
        </w:rPr>
        <w:t>行訴法９条２項</w:t>
      </w:r>
      <w:r w:rsidR="00F23DA5">
        <w:rPr>
          <w:rFonts w:ascii="ＭＳ 明朝" w:cs="Times New Roman" w:hint="eastAsia"/>
          <w:spacing w:val="2"/>
        </w:rPr>
        <w:t>が、</w:t>
      </w:r>
      <w:r w:rsidRPr="0045325E">
        <w:rPr>
          <w:rFonts w:ascii="ＭＳ 明朝" w:cs="Times New Roman" w:hint="eastAsia"/>
          <w:spacing w:val="2"/>
        </w:rPr>
        <w:t>文言詮索</w:t>
      </w:r>
      <w:r>
        <w:rPr>
          <w:rFonts w:ascii="ＭＳ 明朝" w:cs="Times New Roman" w:hint="eastAsia"/>
          <w:spacing w:val="2"/>
        </w:rPr>
        <w:t>を諫め</w:t>
      </w:r>
      <w:r w:rsidRPr="0045325E">
        <w:rPr>
          <w:rFonts w:ascii="ＭＳ 明朝" w:cs="Times New Roman" w:hint="eastAsia"/>
          <w:spacing w:val="2"/>
        </w:rPr>
        <w:t>、根拠法令のみならず関連法令の趣旨目的に遡って</w:t>
      </w:r>
      <w:r>
        <w:rPr>
          <w:rFonts w:ascii="ＭＳ 明朝" w:cs="Times New Roman" w:hint="eastAsia"/>
          <w:spacing w:val="2"/>
        </w:rPr>
        <w:t>法律上保護された利益を</w:t>
      </w:r>
      <w:r w:rsidRPr="0045325E">
        <w:rPr>
          <w:rFonts w:ascii="ＭＳ 明朝" w:cs="Times New Roman" w:hint="eastAsia"/>
          <w:spacing w:val="2"/>
        </w:rPr>
        <w:t>検討することを求めている</w:t>
      </w:r>
      <w:r w:rsidR="00F23DA5">
        <w:rPr>
          <w:rFonts w:ascii="ＭＳ 明朝" w:cs="Times New Roman" w:hint="eastAsia"/>
          <w:spacing w:val="2"/>
        </w:rPr>
        <w:t>ことに真っ向から</w:t>
      </w:r>
      <w:r>
        <w:rPr>
          <w:rFonts w:ascii="ＭＳ 明朝" w:cs="Times New Roman" w:hint="eastAsia"/>
          <w:spacing w:val="2"/>
        </w:rPr>
        <w:t>抵触してい</w:t>
      </w:r>
      <w:r w:rsidR="00F23DA5">
        <w:rPr>
          <w:rFonts w:ascii="ＭＳ 明朝" w:cs="Times New Roman" w:hint="eastAsia"/>
          <w:spacing w:val="2"/>
        </w:rPr>
        <w:t>ます</w:t>
      </w:r>
      <w:r w:rsidRPr="0045325E">
        <w:rPr>
          <w:rFonts w:ascii="ＭＳ 明朝" w:cs="Times New Roman" w:hint="eastAsia"/>
          <w:spacing w:val="2"/>
        </w:rPr>
        <w:t>。</w:t>
      </w:r>
    </w:p>
    <w:p w14:paraId="2D813106" w14:textId="01DEF0F9" w:rsidR="00D44C18" w:rsidRPr="008D6266" w:rsidRDefault="008D6266" w:rsidP="004D22CF">
      <w:pPr>
        <w:pStyle w:val="a3"/>
        <w:adjustRightInd/>
        <w:ind w:leftChars="174" w:left="425" w:firstLineChars="100" w:firstLine="248"/>
        <w:rPr>
          <w:rFonts w:ascii="ＭＳ 明朝" w:cs="Times New Roman" w:hint="eastAsia"/>
          <w:spacing w:val="2"/>
        </w:rPr>
      </w:pPr>
      <w:r>
        <w:rPr>
          <w:rFonts w:ascii="ＭＳ 明朝" w:cs="Times New Roman" w:hint="eastAsia"/>
          <w:spacing w:val="2"/>
        </w:rPr>
        <w:t>加えて、この部分の原判決の理解は、先に</w:t>
      </w:r>
      <w:r w:rsidR="00F23DA5">
        <w:rPr>
          <w:rFonts w:ascii="ＭＳ 明朝" w:cs="Times New Roman" w:hint="eastAsia"/>
          <w:spacing w:val="2"/>
        </w:rPr>
        <w:t>触れた</w:t>
      </w:r>
      <w:r>
        <w:rPr>
          <w:rFonts w:ascii="ＭＳ 明朝" w:cs="Times New Roman" w:hint="eastAsia"/>
          <w:spacing w:val="2"/>
        </w:rPr>
        <w:t>福井意見書が徹底的に批判し、控訴理由書においてもその点は指摘しているところ、</w:t>
      </w:r>
      <w:r w:rsidR="0008296E">
        <w:rPr>
          <w:rFonts w:ascii="ＭＳ 明朝" w:cs="Times New Roman" w:hint="eastAsia"/>
          <w:spacing w:val="2"/>
        </w:rPr>
        <w:t>被控訴人らから提出された書面には、この点について反論がなされていなかったため、控訴人ら第２７準備書面においては、同意見書から重要な部分を引用しました。</w:t>
      </w:r>
    </w:p>
    <w:p w14:paraId="21546B15" w14:textId="41E09A4D" w:rsidR="00D44C18" w:rsidRDefault="0008296E" w:rsidP="004D22CF">
      <w:pPr>
        <w:pStyle w:val="a3"/>
        <w:adjustRightInd/>
        <w:ind w:leftChars="174" w:left="425" w:firstLineChars="100" w:firstLine="248"/>
        <w:rPr>
          <w:rFonts w:ascii="ＭＳ 明朝" w:cs="Times New Roman"/>
          <w:spacing w:val="2"/>
        </w:rPr>
      </w:pPr>
      <w:r>
        <w:rPr>
          <w:rFonts w:ascii="ＭＳ 明朝" w:cs="Times New Roman" w:hint="eastAsia"/>
          <w:spacing w:val="2"/>
        </w:rPr>
        <w:t>同意見書は、要旨、次のように述べます。</w:t>
      </w:r>
    </w:p>
    <w:p w14:paraId="3C6524BF" w14:textId="607D1DA3" w:rsidR="0008296E" w:rsidRPr="0008296E" w:rsidRDefault="0008296E" w:rsidP="004D22CF">
      <w:pPr>
        <w:pStyle w:val="a3"/>
        <w:adjustRightInd/>
        <w:ind w:leftChars="174" w:left="425" w:firstLineChars="100" w:firstLine="248"/>
        <w:rPr>
          <w:rFonts w:ascii="ＭＳ 明朝" w:cs="Times New Roman" w:hint="eastAsia"/>
          <w:spacing w:val="2"/>
        </w:rPr>
      </w:pPr>
      <w:r>
        <w:rPr>
          <w:rFonts w:ascii="ＭＳ 明朝" w:cs="Times New Roman" w:hint="eastAsia"/>
          <w:spacing w:val="2"/>
        </w:rPr>
        <w:t>「</w:t>
      </w:r>
      <w:r w:rsidRPr="0008296E">
        <w:rPr>
          <w:rFonts w:ascii="ＭＳ 明朝" w:cs="Times New Roman" w:hint="eastAsia"/>
          <w:spacing w:val="2"/>
        </w:rPr>
        <w:t>原告適格判定が、処分の効果が及ぶ範囲の者の中での選別作業である以上、基本的に次の二点において、同判決</w:t>
      </w:r>
      <w:r>
        <w:rPr>
          <w:rFonts w:ascii="ＭＳ 明朝" w:cs="Times New Roman" w:hint="eastAsia"/>
          <w:spacing w:val="2"/>
        </w:rPr>
        <w:t>（注：原判決のこと）</w:t>
      </w:r>
      <w:r w:rsidRPr="0008296E">
        <w:rPr>
          <w:rFonts w:ascii="ＭＳ 明朝" w:cs="Times New Roman" w:hint="eastAsia"/>
          <w:spacing w:val="2"/>
        </w:rPr>
        <w:t>の述べるところは、法律論と位置付けるのも憚られる、初歩の論理操作が欠落した荒唐無稽な見解である。</w:t>
      </w:r>
    </w:p>
    <w:p w14:paraId="0509841D" w14:textId="5319C1B9" w:rsidR="0008296E" w:rsidRPr="008D6266" w:rsidRDefault="0008296E" w:rsidP="004D22CF">
      <w:pPr>
        <w:pStyle w:val="a3"/>
        <w:adjustRightInd/>
        <w:ind w:leftChars="174" w:left="425" w:firstLineChars="100" w:firstLine="248"/>
        <w:rPr>
          <w:rFonts w:ascii="ＭＳ 明朝" w:cs="Times New Roman" w:hint="eastAsia"/>
          <w:spacing w:val="2"/>
        </w:rPr>
      </w:pPr>
      <w:r w:rsidRPr="0008296E">
        <w:rPr>
          <w:rFonts w:ascii="ＭＳ 明朝" w:cs="Times New Roman" w:hint="eastAsia"/>
          <w:spacing w:val="2"/>
        </w:rPr>
        <w:t>第一に、</w:t>
      </w:r>
      <w:r>
        <w:rPr>
          <w:rFonts w:ascii="ＭＳ 明朝" w:cs="Times New Roman" w:hint="eastAsia"/>
          <w:spacing w:val="2"/>
        </w:rPr>
        <w:t>…</w:t>
      </w:r>
      <w:r w:rsidRPr="0008296E">
        <w:rPr>
          <w:rFonts w:ascii="ＭＳ 明朝" w:cs="Times New Roman" w:hint="eastAsia"/>
          <w:spacing w:val="2"/>
        </w:rPr>
        <w:t>効果の発生は、要件規定そのものとは関わりなく、処分発動に伴う効果を規律する法の規定に基づき発生する。</w:t>
      </w:r>
      <w:r>
        <w:rPr>
          <w:rFonts w:ascii="ＭＳ 明朝" w:cs="Times New Roman" w:hint="eastAsia"/>
          <w:spacing w:val="2"/>
        </w:rPr>
        <w:t>…</w:t>
      </w:r>
      <w:r w:rsidRPr="0008296E">
        <w:rPr>
          <w:rFonts w:ascii="ＭＳ 明朝" w:cs="Times New Roman" w:hint="eastAsia"/>
          <w:spacing w:val="2"/>
        </w:rPr>
        <w:t>要件の文言ごとに異なる効果が分解されて発生すると解釈できる余地はない。</w:t>
      </w:r>
      <w:r>
        <w:rPr>
          <w:rFonts w:ascii="ＭＳ 明朝" w:cs="Times New Roman" w:hint="eastAsia"/>
          <w:spacing w:val="2"/>
        </w:rPr>
        <w:t>…</w:t>
      </w:r>
      <w:r w:rsidRPr="0008296E">
        <w:rPr>
          <w:rFonts w:ascii="ＭＳ 明朝" w:cs="Times New Roman" w:hint="eastAsia"/>
          <w:spacing w:val="2"/>
        </w:rPr>
        <w:t>要件とは効果の前提であるから、複数存在する処分要件の法令の規定のそれぞれごとに、要件規定の文言に則した「効果」が独立に存在するという論理自体破綻している。</w:t>
      </w:r>
    </w:p>
    <w:p w14:paraId="1DA5F19A" w14:textId="08742F46" w:rsidR="00D44C18" w:rsidRDefault="0008296E" w:rsidP="004D22CF">
      <w:pPr>
        <w:pStyle w:val="a3"/>
        <w:adjustRightInd/>
        <w:ind w:leftChars="174" w:left="425" w:firstLineChars="100" w:firstLine="248"/>
        <w:rPr>
          <w:rFonts w:ascii="ＭＳ 明朝" w:cs="Times New Roman"/>
          <w:spacing w:val="2"/>
        </w:rPr>
      </w:pPr>
      <w:r>
        <w:rPr>
          <w:rFonts w:ascii="ＭＳ 明朝" w:cs="Times New Roman" w:hint="eastAsia"/>
          <w:spacing w:val="2"/>
        </w:rPr>
        <w:t>…</w:t>
      </w:r>
    </w:p>
    <w:p w14:paraId="64445235" w14:textId="517EE3E6" w:rsidR="00D44C18" w:rsidRDefault="0008296E" w:rsidP="004D22CF">
      <w:pPr>
        <w:pStyle w:val="a3"/>
        <w:adjustRightInd/>
        <w:ind w:leftChars="174" w:left="425" w:firstLineChars="100" w:firstLine="248"/>
        <w:rPr>
          <w:rFonts w:ascii="ＭＳ 明朝" w:cs="Times New Roman"/>
          <w:spacing w:val="2"/>
        </w:rPr>
      </w:pPr>
      <w:r w:rsidRPr="0045325E">
        <w:rPr>
          <w:rFonts w:ascii="ＭＳ 明朝" w:cs="Times New Roman" w:hint="eastAsia"/>
          <w:spacing w:val="2"/>
        </w:rPr>
        <w:t>第二に、原告適格判定は、</w:t>
      </w:r>
      <w:r>
        <w:rPr>
          <w:rFonts w:ascii="ＭＳ 明朝" w:cs="Times New Roman" w:hint="eastAsia"/>
          <w:spacing w:val="2"/>
        </w:rPr>
        <w:t>…</w:t>
      </w:r>
      <w:r w:rsidRPr="0008296E">
        <w:rPr>
          <w:rFonts w:ascii="ＭＳ 明朝" w:cs="Times New Roman" w:hint="eastAsia"/>
          <w:spacing w:val="2"/>
        </w:rPr>
        <w:t>処分の効果をもたらす前提たるすべての処分要</w:t>
      </w:r>
      <w:r w:rsidRPr="0008296E">
        <w:rPr>
          <w:rFonts w:ascii="ＭＳ 明朝" w:cs="Times New Roman" w:hint="eastAsia"/>
          <w:spacing w:val="2"/>
        </w:rPr>
        <w:lastRenderedPageBreak/>
        <w:t>件たる規定等の文言、趣旨等を考察して行う作業である。仮に取消訴訟の直接の対象たる処分の理由が一部の要件のみであったとしても、これを原告適格の根拠と直ちに連動させるべき理由は存在しない</w:t>
      </w:r>
      <w:r w:rsidRPr="0045325E">
        <w:rPr>
          <w:rFonts w:ascii="ＭＳ 明朝" w:cs="Times New Roman" w:hint="eastAsia"/>
          <w:spacing w:val="2"/>
        </w:rPr>
        <w:t>。</w:t>
      </w:r>
      <w:r>
        <w:rPr>
          <w:rFonts w:ascii="ＭＳ 明朝" w:cs="Times New Roman" w:hint="eastAsia"/>
          <w:spacing w:val="2"/>
        </w:rPr>
        <w:t>…</w:t>
      </w:r>
      <w:bookmarkStart w:id="0" w:name="_Hlk131919658"/>
      <w:r w:rsidRPr="0008296E">
        <w:rPr>
          <w:rFonts w:ascii="ＭＳ 明朝" w:cs="Times New Roman" w:hint="eastAsia"/>
          <w:spacing w:val="2"/>
        </w:rPr>
        <w:t>原告適格の不存在を一部要件の検討を省略して認定することは、省略された要件に基礎付けられる、処分を争う法律上の利益を有する者が存在する場合であっても、その者が当該処分の違法性を争う機会を一律に奪うことになる</w:t>
      </w:r>
      <w:r w:rsidRPr="0045325E">
        <w:rPr>
          <w:rFonts w:ascii="ＭＳ 明朝" w:cs="Times New Roman" w:hint="eastAsia"/>
          <w:spacing w:val="2"/>
        </w:rPr>
        <w:t>。</w:t>
      </w:r>
      <w:bookmarkEnd w:id="0"/>
      <w:r>
        <w:rPr>
          <w:rFonts w:ascii="ＭＳ 明朝" w:cs="Times New Roman" w:hint="eastAsia"/>
          <w:spacing w:val="2"/>
        </w:rPr>
        <w:t>」</w:t>
      </w:r>
    </w:p>
    <w:p w14:paraId="64FC2832" w14:textId="5DA082D4" w:rsidR="00D44C18" w:rsidRDefault="004D22CF" w:rsidP="004D22CF">
      <w:pPr>
        <w:pStyle w:val="a3"/>
        <w:adjustRightInd/>
        <w:ind w:leftChars="174" w:left="425" w:firstLineChars="100" w:firstLine="248"/>
        <w:rPr>
          <w:rFonts w:ascii="ＭＳ 明朝" w:cs="Times New Roman"/>
          <w:spacing w:val="2"/>
        </w:rPr>
      </w:pPr>
      <w:r>
        <w:rPr>
          <w:rFonts w:ascii="ＭＳ 明朝" w:cs="Times New Roman" w:hint="eastAsia"/>
          <w:spacing w:val="2"/>
        </w:rPr>
        <w:t>このような指摘からも、原判決による「</w:t>
      </w:r>
      <w:r w:rsidRPr="0045325E">
        <w:rPr>
          <w:rFonts w:ascii="ＭＳ 明朝" w:cs="Times New Roman" w:hint="eastAsia"/>
          <w:spacing w:val="2"/>
        </w:rPr>
        <w:t>本件裁決によって害されることとなる利益は</w:t>
      </w:r>
      <w:r>
        <w:rPr>
          <w:rFonts w:ascii="ＭＳ 明朝" w:cs="Times New Roman" w:hint="eastAsia"/>
          <w:spacing w:val="2"/>
        </w:rPr>
        <w:t>、撤回の根拠理由となった</w:t>
      </w:r>
      <w:r w:rsidRPr="0045325E">
        <w:rPr>
          <w:rFonts w:ascii="ＭＳ 明朝" w:cs="Times New Roman" w:hint="eastAsia"/>
          <w:spacing w:val="2"/>
        </w:rPr>
        <w:t>公水法４条１項１号及び２号が保護する利益に限られる</w:t>
      </w:r>
      <w:r>
        <w:rPr>
          <w:rFonts w:ascii="ＭＳ 明朝" w:cs="Times New Roman" w:hint="eastAsia"/>
          <w:spacing w:val="2"/>
        </w:rPr>
        <w:t>」という限定的な理解が誤っているものであることは明らかで</w:t>
      </w:r>
      <w:r w:rsidR="00B663B0">
        <w:rPr>
          <w:rFonts w:ascii="ＭＳ 明朝" w:cs="Times New Roman" w:hint="eastAsia"/>
          <w:spacing w:val="2"/>
        </w:rPr>
        <w:t>あり、原判決の理解は、</w:t>
      </w:r>
      <w:r w:rsidR="00B663B0" w:rsidRPr="00B663B0">
        <w:rPr>
          <w:rFonts w:ascii="ＭＳ 明朝" w:cs="Times New Roman" w:hint="eastAsia"/>
          <w:spacing w:val="2"/>
        </w:rPr>
        <w:t>原告適格での検討事項と本案での検討事項を混同</w:t>
      </w:r>
      <w:r w:rsidR="00B663B0">
        <w:rPr>
          <w:rFonts w:ascii="ＭＳ 明朝" w:cs="Times New Roman" w:hint="eastAsia"/>
          <w:spacing w:val="2"/>
        </w:rPr>
        <w:t>していることは明らかです</w:t>
      </w:r>
      <w:r>
        <w:rPr>
          <w:rFonts w:ascii="ＭＳ 明朝" w:cs="Times New Roman" w:hint="eastAsia"/>
          <w:spacing w:val="2"/>
        </w:rPr>
        <w:t>。</w:t>
      </w:r>
    </w:p>
    <w:p w14:paraId="47D940AD" w14:textId="5873A07C" w:rsidR="004D22CF" w:rsidRDefault="004D22CF" w:rsidP="004D22CF">
      <w:pPr>
        <w:pStyle w:val="a3"/>
        <w:adjustRightInd/>
        <w:ind w:leftChars="174" w:left="425" w:firstLineChars="100" w:firstLine="248"/>
        <w:rPr>
          <w:rFonts w:ascii="ＭＳ 明朝" w:cs="Times New Roman" w:hint="eastAsia"/>
          <w:spacing w:val="2"/>
        </w:rPr>
      </w:pPr>
      <w:r>
        <w:rPr>
          <w:rFonts w:ascii="ＭＳ 明朝" w:cs="Times New Roman" w:hint="eastAsia"/>
          <w:spacing w:val="2"/>
        </w:rPr>
        <w:t>行訴法９条２項に素直に従えば、原判決のような限定的な理解ではなく、</w:t>
      </w:r>
      <w:r w:rsidRPr="0045325E">
        <w:rPr>
          <w:rFonts w:ascii="ＭＳ 明朝" w:cs="Times New Roman" w:hint="eastAsia"/>
          <w:spacing w:val="2"/>
        </w:rPr>
        <w:t>公有水面埋立法及びその関係法令（環境影響評価法、沖縄県環境影響評価条例等）の趣旨及び目的を鑑み</w:t>
      </w:r>
      <w:r>
        <w:rPr>
          <w:rFonts w:ascii="ＭＳ 明朝" w:cs="Times New Roman" w:hint="eastAsia"/>
          <w:spacing w:val="2"/>
        </w:rPr>
        <w:t>るべきことは明らかであるし、</w:t>
      </w:r>
      <w:r w:rsidR="00B663B0">
        <w:rPr>
          <w:rFonts w:ascii="ＭＳ 明朝" w:cs="Times New Roman" w:hint="eastAsia"/>
          <w:spacing w:val="2"/>
        </w:rPr>
        <w:t>これらを考慮すれば、</w:t>
      </w:r>
      <w:r>
        <w:rPr>
          <w:rFonts w:ascii="ＭＳ 明朝" w:cs="Times New Roman" w:hint="eastAsia"/>
          <w:spacing w:val="2"/>
        </w:rPr>
        <w:t>本件でいうところの「法律上の利益」とは</w:t>
      </w:r>
      <w:r w:rsidRPr="0045325E">
        <w:rPr>
          <w:rFonts w:ascii="ＭＳ 明朝" w:cs="Times New Roman" w:hint="eastAsia"/>
          <w:spacing w:val="2"/>
        </w:rPr>
        <w:t>「埋立地の周辺地域に居住する住民をして、違法な事業に起因する災害を受けず、又は公害</w:t>
      </w:r>
      <w:r>
        <w:rPr>
          <w:rFonts w:ascii="ＭＳ 明朝" w:cs="Times New Roman" w:hint="eastAsia"/>
          <w:spacing w:val="2"/>
        </w:rPr>
        <w:t>（騒音のみならず水質汚濁も含む）</w:t>
      </w:r>
      <w:r w:rsidRPr="0045325E">
        <w:rPr>
          <w:rFonts w:ascii="ＭＳ 明朝" w:cs="Times New Roman" w:hint="eastAsia"/>
          <w:spacing w:val="2"/>
        </w:rPr>
        <w:t>によって健康</w:t>
      </w:r>
      <w:r>
        <w:rPr>
          <w:rFonts w:ascii="ＭＳ 明朝" w:cs="Times New Roman" w:hint="eastAsia"/>
          <w:spacing w:val="2"/>
        </w:rPr>
        <w:t>、</w:t>
      </w:r>
      <w:r w:rsidRPr="0045325E">
        <w:rPr>
          <w:rFonts w:ascii="ＭＳ 明朝" w:cs="Times New Roman" w:hint="eastAsia"/>
          <w:spacing w:val="2"/>
        </w:rPr>
        <w:t>生活環境</w:t>
      </w:r>
      <w:r>
        <w:rPr>
          <w:rFonts w:ascii="ＭＳ 明朝" w:cs="Times New Roman" w:hint="eastAsia"/>
          <w:spacing w:val="2"/>
        </w:rPr>
        <w:t>若しくは営業</w:t>
      </w:r>
      <w:r w:rsidRPr="0045325E">
        <w:rPr>
          <w:rFonts w:ascii="ＭＳ 明朝" w:cs="Times New Roman" w:hint="eastAsia"/>
          <w:spacing w:val="2"/>
        </w:rPr>
        <w:t>に係る被害を受けないという利益」</w:t>
      </w:r>
      <w:r>
        <w:rPr>
          <w:rFonts w:ascii="ＭＳ 明朝" w:cs="Times New Roman" w:hint="eastAsia"/>
          <w:spacing w:val="2"/>
        </w:rPr>
        <w:t>をいうものであることは明らかというべきです。</w:t>
      </w:r>
    </w:p>
    <w:p w14:paraId="4462DCBF" w14:textId="7D9D7D09" w:rsidR="00D44C18" w:rsidRDefault="004D22CF" w:rsidP="004D22CF">
      <w:pPr>
        <w:pStyle w:val="a3"/>
        <w:adjustRightInd/>
        <w:rPr>
          <w:rFonts w:ascii="ＭＳ 明朝" w:cs="Times New Roman" w:hint="eastAsia"/>
          <w:spacing w:val="2"/>
        </w:rPr>
      </w:pPr>
      <w:r>
        <w:rPr>
          <w:rFonts w:ascii="ＭＳ 明朝" w:cs="Times New Roman" w:hint="eastAsia"/>
          <w:spacing w:val="2"/>
        </w:rPr>
        <w:t>（３）</w:t>
      </w:r>
      <w:r w:rsidR="002C57F0">
        <w:rPr>
          <w:rFonts w:ascii="ＭＳ 明朝" w:cs="Times New Roman" w:hint="eastAsia"/>
          <w:spacing w:val="2"/>
        </w:rPr>
        <w:t>次に、</w:t>
      </w:r>
      <w:r>
        <w:rPr>
          <w:rFonts w:ascii="ＭＳ 明朝" w:cs="Times New Roman" w:hint="eastAsia"/>
          <w:spacing w:val="2"/>
        </w:rPr>
        <w:t>控訴人らが原告適格を有していること</w:t>
      </w:r>
      <w:r w:rsidR="002C57F0">
        <w:rPr>
          <w:rFonts w:ascii="ＭＳ 明朝" w:cs="Times New Roman" w:hint="eastAsia"/>
          <w:spacing w:val="2"/>
        </w:rPr>
        <w:t>について述べます。</w:t>
      </w:r>
    </w:p>
    <w:p w14:paraId="04373DAC" w14:textId="607FF55E" w:rsidR="00155684" w:rsidRDefault="008F061A">
      <w:pPr>
        <w:pStyle w:val="a3"/>
        <w:adjustRightInd/>
        <w:rPr>
          <w:rFonts w:ascii="ＭＳ 明朝" w:cs="Times New Roman"/>
          <w:spacing w:val="2"/>
        </w:rPr>
      </w:pPr>
      <w:r>
        <w:rPr>
          <w:rFonts w:ascii="ＭＳ 明朝" w:cs="Times New Roman" w:hint="eastAsia"/>
          <w:spacing w:val="2"/>
        </w:rPr>
        <w:t xml:space="preserve">　ア　</w:t>
      </w:r>
      <w:r w:rsidR="002C57F0">
        <w:rPr>
          <w:rFonts w:ascii="ＭＳ 明朝" w:cs="Times New Roman" w:hint="eastAsia"/>
          <w:spacing w:val="2"/>
        </w:rPr>
        <w:t>まず、</w:t>
      </w:r>
      <w:r>
        <w:rPr>
          <w:rFonts w:ascii="ＭＳ 明朝" w:cs="Times New Roman" w:hint="eastAsia"/>
          <w:spacing w:val="2"/>
        </w:rPr>
        <w:t>騒音について</w:t>
      </w:r>
      <w:r w:rsidR="002C57F0">
        <w:rPr>
          <w:rFonts w:ascii="ＭＳ 明朝" w:cs="Times New Roman" w:hint="eastAsia"/>
          <w:spacing w:val="2"/>
        </w:rPr>
        <w:t>です。</w:t>
      </w:r>
    </w:p>
    <w:p w14:paraId="143F724D" w14:textId="0BDEC532" w:rsidR="008F061A" w:rsidRDefault="008F061A" w:rsidP="00B663B0">
      <w:pPr>
        <w:pStyle w:val="a3"/>
        <w:adjustRightInd/>
        <w:ind w:leftChars="174" w:left="425" w:firstLineChars="100" w:firstLine="248"/>
        <w:rPr>
          <w:rFonts w:ascii="ＭＳ 明朝" w:cs="Times New Roman"/>
          <w:spacing w:val="2"/>
        </w:rPr>
      </w:pPr>
      <w:r>
        <w:rPr>
          <w:rFonts w:ascii="ＭＳ 明朝" w:cs="Times New Roman" w:hint="eastAsia"/>
          <w:spacing w:val="2"/>
        </w:rPr>
        <w:t>控訴人</w:t>
      </w:r>
      <w:r w:rsidRPr="00E90AB6">
        <w:rPr>
          <w:rFonts w:ascii="ＭＳ 明朝" w:cs="Times New Roman" w:hint="eastAsia"/>
          <w:spacing w:val="2"/>
        </w:rPr>
        <w:t>２、３及び１６</w:t>
      </w:r>
      <w:r>
        <w:rPr>
          <w:rFonts w:ascii="ＭＳ 明朝" w:cs="Times New Roman" w:hint="eastAsia"/>
          <w:spacing w:val="2"/>
        </w:rPr>
        <w:t>番</w:t>
      </w:r>
      <w:r w:rsidRPr="00E90AB6">
        <w:rPr>
          <w:rFonts w:ascii="ＭＳ 明朝" w:cs="Times New Roman" w:hint="eastAsia"/>
          <w:spacing w:val="2"/>
        </w:rPr>
        <w:t>の各</w:t>
      </w:r>
      <w:r>
        <w:rPr>
          <w:rFonts w:ascii="ＭＳ 明朝" w:cs="Times New Roman" w:hint="eastAsia"/>
          <w:spacing w:val="2"/>
        </w:rPr>
        <w:t>控訴人</w:t>
      </w:r>
      <w:r w:rsidRPr="00E90AB6">
        <w:rPr>
          <w:rFonts w:ascii="ＭＳ 明朝" w:cs="Times New Roman" w:hint="eastAsia"/>
          <w:spacing w:val="2"/>
        </w:rPr>
        <w:t>は、いずれも、</w:t>
      </w:r>
      <w:r w:rsidR="00F23DA5" w:rsidRPr="00E90AB6">
        <w:rPr>
          <w:rFonts w:ascii="ＭＳ 明朝" w:cs="Times New Roman" w:hint="eastAsia"/>
          <w:spacing w:val="2"/>
        </w:rPr>
        <w:t>予測</w:t>
      </w:r>
      <w:r w:rsidR="00F23DA5">
        <w:rPr>
          <w:rFonts w:ascii="ＭＳ 明朝" w:cs="Times New Roman" w:hint="eastAsia"/>
          <w:spacing w:val="2"/>
        </w:rPr>
        <w:t>Ｗ</w:t>
      </w:r>
      <w:r w:rsidR="00F23DA5" w:rsidRPr="00E90AB6">
        <w:rPr>
          <w:rFonts w:ascii="ＭＳ 明朝" w:cs="Times New Roman" w:hint="eastAsia"/>
          <w:spacing w:val="2"/>
        </w:rPr>
        <w:t>値７０</w:t>
      </w:r>
      <w:r w:rsidRPr="00E90AB6">
        <w:rPr>
          <w:rFonts w:ascii="ＭＳ 明朝" w:cs="Times New Roman" w:hint="eastAsia"/>
          <w:spacing w:val="2"/>
        </w:rPr>
        <w:t>のコンター線から２００メートル以内に居住</w:t>
      </w:r>
      <w:r w:rsidR="00B663B0">
        <w:rPr>
          <w:rFonts w:ascii="ＭＳ 明朝" w:cs="Times New Roman" w:hint="eastAsia"/>
          <w:spacing w:val="2"/>
        </w:rPr>
        <w:t>しています</w:t>
      </w:r>
      <w:r w:rsidRPr="00E90AB6">
        <w:rPr>
          <w:rFonts w:ascii="ＭＳ 明朝" w:cs="Times New Roman" w:hint="eastAsia"/>
          <w:spacing w:val="2"/>
        </w:rPr>
        <w:t>。</w:t>
      </w:r>
    </w:p>
    <w:p w14:paraId="73F41BAB" w14:textId="77777777" w:rsidR="00CB6D86" w:rsidRDefault="008F061A" w:rsidP="00B663B0">
      <w:pPr>
        <w:pStyle w:val="a3"/>
        <w:adjustRightInd/>
        <w:ind w:leftChars="174" w:left="425" w:firstLineChars="100" w:firstLine="248"/>
        <w:rPr>
          <w:rFonts w:ascii="ＭＳ 明朝" w:cs="Times New Roman"/>
          <w:spacing w:val="2"/>
        </w:rPr>
      </w:pPr>
      <w:r w:rsidRPr="00E90AB6">
        <w:rPr>
          <w:rFonts w:ascii="ＭＳ 明朝" w:cs="Times New Roman" w:hint="eastAsia"/>
          <w:spacing w:val="2"/>
        </w:rPr>
        <w:t>原判決も認定しているとおり、「普天間飛行場における、平成２９年度の回転翼機等の飛行状況調査結果」においては、「本調査の精度については、測定手法の技術的な限界から、実際の航空機の飛行と調査結果の航跡とは最大で約２００m又はそれ以上の誤差が生じる可能性がある。」と記述されてい</w:t>
      </w:r>
      <w:r w:rsidR="00B663B0">
        <w:rPr>
          <w:rFonts w:ascii="ＭＳ 明朝" w:cs="Times New Roman" w:hint="eastAsia"/>
          <w:spacing w:val="2"/>
        </w:rPr>
        <w:t>ます</w:t>
      </w:r>
      <w:r w:rsidRPr="00E90AB6">
        <w:rPr>
          <w:rFonts w:ascii="ＭＳ 明朝" w:cs="Times New Roman" w:hint="eastAsia"/>
          <w:spacing w:val="2"/>
        </w:rPr>
        <w:t>。</w:t>
      </w:r>
      <w:r w:rsidRPr="00E90AB6">
        <w:rPr>
          <w:rFonts w:ascii="ＭＳ 明朝" w:cs="Times New Roman" w:hint="eastAsia"/>
          <w:spacing w:val="2"/>
        </w:rPr>
        <w:lastRenderedPageBreak/>
        <w:t>そうすると、予測</w:t>
      </w:r>
      <w:r w:rsidR="00F23DA5">
        <w:rPr>
          <w:rFonts w:ascii="ＭＳ 明朝" w:cs="Times New Roman" w:hint="eastAsia"/>
          <w:spacing w:val="2"/>
        </w:rPr>
        <w:t>Ｗ</w:t>
      </w:r>
      <w:r w:rsidRPr="00E90AB6">
        <w:rPr>
          <w:rFonts w:ascii="ＭＳ 明朝" w:cs="Times New Roman" w:hint="eastAsia"/>
          <w:spacing w:val="2"/>
        </w:rPr>
        <w:t>値７０のコンター線から２００メートル以内に居住する２、３及び１６</w:t>
      </w:r>
      <w:r>
        <w:rPr>
          <w:rFonts w:ascii="ＭＳ 明朝" w:cs="Times New Roman" w:hint="eastAsia"/>
          <w:spacing w:val="2"/>
        </w:rPr>
        <w:t>番</w:t>
      </w:r>
      <w:r w:rsidRPr="00E90AB6">
        <w:rPr>
          <w:rFonts w:ascii="ＭＳ 明朝" w:cs="Times New Roman" w:hint="eastAsia"/>
          <w:spacing w:val="2"/>
        </w:rPr>
        <w:t>の各</w:t>
      </w:r>
      <w:r>
        <w:rPr>
          <w:rFonts w:ascii="ＭＳ 明朝" w:cs="Times New Roman" w:hint="eastAsia"/>
          <w:spacing w:val="2"/>
        </w:rPr>
        <w:t>控訴人</w:t>
      </w:r>
      <w:r w:rsidRPr="00E90AB6">
        <w:rPr>
          <w:rFonts w:ascii="ＭＳ 明朝" w:cs="Times New Roman" w:hint="eastAsia"/>
          <w:spacing w:val="2"/>
        </w:rPr>
        <w:t>についても、</w:t>
      </w:r>
      <w:r w:rsidR="00F23DA5">
        <w:rPr>
          <w:rFonts w:ascii="ＭＳ 明朝" w:cs="Times New Roman" w:hint="eastAsia"/>
          <w:spacing w:val="2"/>
        </w:rPr>
        <w:t>実際上はＷ値</w:t>
      </w:r>
      <w:r w:rsidRPr="00E90AB6">
        <w:rPr>
          <w:rFonts w:ascii="ＭＳ 明朝" w:cs="Times New Roman" w:hint="eastAsia"/>
          <w:spacing w:val="2"/>
        </w:rPr>
        <w:t>７０コンタ一線における被害と同等の被害が生ずるおそれは十分存在</w:t>
      </w:r>
      <w:r w:rsidR="00B663B0">
        <w:rPr>
          <w:rFonts w:ascii="ＭＳ 明朝" w:cs="Times New Roman" w:hint="eastAsia"/>
          <w:spacing w:val="2"/>
        </w:rPr>
        <w:t>します</w:t>
      </w:r>
      <w:r w:rsidRPr="00E90AB6">
        <w:rPr>
          <w:rFonts w:ascii="ＭＳ 明朝" w:cs="Times New Roman" w:hint="eastAsia"/>
          <w:spacing w:val="2"/>
        </w:rPr>
        <w:t>。</w:t>
      </w:r>
    </w:p>
    <w:p w14:paraId="6110A4C0" w14:textId="5E36B615" w:rsidR="008F061A" w:rsidRDefault="00CB6D86" w:rsidP="00B663B0">
      <w:pPr>
        <w:pStyle w:val="a3"/>
        <w:adjustRightInd/>
        <w:ind w:leftChars="174" w:left="425" w:firstLineChars="100" w:firstLine="248"/>
        <w:rPr>
          <w:rFonts w:ascii="ＭＳ 明朝" w:cs="Times New Roman"/>
          <w:spacing w:val="2"/>
        </w:rPr>
      </w:pPr>
      <w:r>
        <w:rPr>
          <w:rFonts w:ascii="ＭＳ 明朝" w:cs="Times New Roman" w:hint="eastAsia"/>
          <w:spacing w:val="2"/>
        </w:rPr>
        <w:t>なお、</w:t>
      </w:r>
      <w:r w:rsidR="006C5A1C">
        <w:rPr>
          <w:rFonts w:ascii="ＭＳ 明朝" w:cs="Times New Roman" w:hint="eastAsia"/>
          <w:spacing w:val="2"/>
        </w:rPr>
        <w:t>第２７準備書面においては、予測コンター</w:t>
      </w:r>
      <w:r>
        <w:rPr>
          <w:rFonts w:ascii="ＭＳ 明朝" w:cs="Times New Roman" w:hint="eastAsia"/>
          <w:spacing w:val="2"/>
        </w:rPr>
        <w:t>値</w:t>
      </w:r>
      <w:r w:rsidR="006C5A1C">
        <w:rPr>
          <w:rFonts w:ascii="ＭＳ 明朝" w:cs="Times New Roman" w:hint="eastAsia"/>
          <w:spacing w:val="2"/>
        </w:rPr>
        <w:t>が完全に正確なものであるとは言えないことを指摘しています。</w:t>
      </w:r>
    </w:p>
    <w:p w14:paraId="05E7CD97" w14:textId="5550A14A" w:rsidR="00B663B0" w:rsidRDefault="00CB6D86" w:rsidP="00B663B0">
      <w:pPr>
        <w:pStyle w:val="a3"/>
        <w:adjustRightInd/>
        <w:ind w:leftChars="174" w:left="425" w:firstLineChars="100" w:firstLine="248"/>
        <w:rPr>
          <w:rFonts w:ascii="ＭＳ 明朝" w:cs="Times New Roman"/>
          <w:spacing w:val="2"/>
        </w:rPr>
      </w:pPr>
      <w:r>
        <w:rPr>
          <w:rFonts w:ascii="ＭＳ 明朝" w:cs="Times New Roman" w:hint="eastAsia"/>
          <w:spacing w:val="2"/>
        </w:rPr>
        <w:t>ところで、</w:t>
      </w:r>
      <w:r w:rsidR="006C5A1C">
        <w:rPr>
          <w:rFonts w:ascii="ＭＳ 明朝" w:cs="Times New Roman" w:hint="eastAsia"/>
          <w:spacing w:val="2"/>
        </w:rPr>
        <w:t>騒音に関係する原告適格について</w:t>
      </w:r>
      <w:r w:rsidR="00B663B0">
        <w:rPr>
          <w:rFonts w:ascii="ＭＳ 明朝" w:cs="Times New Roman" w:hint="eastAsia"/>
          <w:spacing w:val="2"/>
        </w:rPr>
        <w:t>、原判決は</w:t>
      </w:r>
      <w:r w:rsidR="006C5A1C">
        <w:rPr>
          <w:rFonts w:ascii="ＭＳ 明朝" w:cs="Times New Roman" w:hint="eastAsia"/>
          <w:spacing w:val="2"/>
        </w:rPr>
        <w:t>、</w:t>
      </w:r>
      <w:r>
        <w:rPr>
          <w:rFonts w:ascii="ＭＳ 明朝" w:cs="Times New Roman" w:hint="eastAsia"/>
          <w:spacing w:val="2"/>
        </w:rPr>
        <w:t>Ｗ値</w:t>
      </w:r>
      <w:r w:rsidR="00B663B0">
        <w:rPr>
          <w:rFonts w:ascii="ＭＳ 明朝" w:cs="Times New Roman" w:hint="eastAsia"/>
          <w:spacing w:val="2"/>
        </w:rPr>
        <w:t>７５以上の騒音が生じるおそれがある区域に居住する者について原告適格を認めるべきとしており、被控訴人もこの判断に合理性があるとしています。しかしながら、このような理解もまた、</w:t>
      </w:r>
      <w:r w:rsidR="00B663B0" w:rsidRPr="00B663B0">
        <w:rPr>
          <w:rFonts w:ascii="ＭＳ 明朝" w:cs="Times New Roman" w:hint="eastAsia"/>
          <w:spacing w:val="2"/>
        </w:rPr>
        <w:t>原告適格での検討事項と本案での検討事項を混同</w:t>
      </w:r>
      <w:r w:rsidR="00B663B0">
        <w:rPr>
          <w:rFonts w:ascii="ＭＳ 明朝" w:cs="Times New Roman" w:hint="eastAsia"/>
          <w:spacing w:val="2"/>
        </w:rPr>
        <w:t>しているものと言わざるを</w:t>
      </w:r>
      <w:r w:rsidR="006C5A1C">
        <w:rPr>
          <w:rFonts w:ascii="ＭＳ 明朝" w:cs="Times New Roman" w:hint="eastAsia"/>
          <w:spacing w:val="2"/>
        </w:rPr>
        <w:t>得ません</w:t>
      </w:r>
      <w:r w:rsidR="00B663B0">
        <w:rPr>
          <w:rFonts w:ascii="ＭＳ 明朝" w:cs="Times New Roman" w:hint="eastAsia"/>
          <w:spacing w:val="2"/>
        </w:rPr>
        <w:t>。</w:t>
      </w:r>
      <w:r w:rsidR="006C5A1C" w:rsidRPr="006C5A1C">
        <w:rPr>
          <w:rFonts w:ascii="ＭＳ 明朝" w:cs="Times New Roman" w:hint="eastAsia"/>
          <w:spacing w:val="2"/>
        </w:rPr>
        <w:t>現実の供用がなされている飛行場について、その周辺住民との関係で現実に違法な侵害が生じているかという実体法上の問題と、現時点では現実の供用がなされておらず予測情報しか存在していない飛行場についての裁判の原告適格をどの範囲の住民に認めるのかは、全く異なる問題</w:t>
      </w:r>
      <w:r w:rsidR="006C5A1C">
        <w:rPr>
          <w:rFonts w:ascii="ＭＳ 明朝" w:cs="Times New Roman" w:hint="eastAsia"/>
          <w:spacing w:val="2"/>
        </w:rPr>
        <w:t>です</w:t>
      </w:r>
      <w:r w:rsidR="006C5A1C" w:rsidRPr="006C5A1C">
        <w:rPr>
          <w:rFonts w:ascii="ＭＳ 明朝" w:cs="Times New Roman" w:hint="eastAsia"/>
          <w:spacing w:val="2"/>
        </w:rPr>
        <w:t>。</w:t>
      </w:r>
    </w:p>
    <w:p w14:paraId="739CB0F6" w14:textId="656A1F68" w:rsidR="008F061A" w:rsidRDefault="006C5A1C" w:rsidP="006C5A1C">
      <w:pPr>
        <w:pStyle w:val="a3"/>
        <w:adjustRightInd/>
        <w:ind w:leftChars="174" w:left="425" w:firstLineChars="100" w:firstLine="248"/>
        <w:rPr>
          <w:rFonts w:ascii="ＭＳ 明朝" w:cs="Times New Roman"/>
          <w:spacing w:val="2"/>
        </w:rPr>
      </w:pPr>
      <w:r>
        <w:rPr>
          <w:rFonts w:ascii="ＭＳ 明朝" w:cs="Times New Roman" w:hint="eastAsia"/>
          <w:spacing w:val="2"/>
        </w:rPr>
        <w:t>原告適格の判断においては、</w:t>
      </w:r>
      <w:r w:rsidR="008F061A" w:rsidRPr="00E90AB6">
        <w:rPr>
          <w:rFonts w:ascii="ＭＳ 明朝" w:cs="Times New Roman" w:hint="eastAsia"/>
          <w:spacing w:val="2"/>
        </w:rPr>
        <w:t>予測</w:t>
      </w:r>
      <w:r w:rsidR="00CB6D86">
        <w:rPr>
          <w:rFonts w:ascii="ＭＳ 明朝" w:cs="Times New Roman" w:hint="eastAsia"/>
          <w:spacing w:val="2"/>
        </w:rPr>
        <w:t>Ｗ</w:t>
      </w:r>
      <w:r w:rsidR="008F061A" w:rsidRPr="00E90AB6">
        <w:rPr>
          <w:rFonts w:ascii="ＭＳ 明朝" w:cs="Times New Roman" w:hint="eastAsia"/>
          <w:spacing w:val="2"/>
        </w:rPr>
        <w:t>値７０のコンター線から２００メートル以内に居住する</w:t>
      </w:r>
      <w:r>
        <w:rPr>
          <w:rFonts w:ascii="ＭＳ 明朝" w:cs="Times New Roman" w:hint="eastAsia"/>
          <w:spacing w:val="2"/>
        </w:rPr>
        <w:t>控訴人</w:t>
      </w:r>
      <w:r w:rsidR="008F061A" w:rsidRPr="00E90AB6">
        <w:rPr>
          <w:rFonts w:ascii="ＭＳ 明朝" w:cs="Times New Roman" w:hint="eastAsia"/>
          <w:spacing w:val="2"/>
        </w:rPr>
        <w:t>２、３及び１６</w:t>
      </w:r>
      <w:r>
        <w:rPr>
          <w:rFonts w:ascii="ＭＳ 明朝" w:cs="Times New Roman" w:hint="eastAsia"/>
          <w:spacing w:val="2"/>
        </w:rPr>
        <w:t>に</w:t>
      </w:r>
      <w:r w:rsidR="008F061A" w:rsidRPr="00E90AB6">
        <w:rPr>
          <w:rFonts w:ascii="ＭＳ 明朝" w:cs="Times New Roman" w:hint="eastAsia"/>
          <w:spacing w:val="2"/>
        </w:rPr>
        <w:t>ついて、</w:t>
      </w:r>
      <w:r>
        <w:rPr>
          <w:rFonts w:ascii="ＭＳ 明朝" w:cs="Times New Roman" w:hint="eastAsia"/>
          <w:spacing w:val="2"/>
        </w:rPr>
        <w:t>原告適格を認めるべきであることは明らかです。</w:t>
      </w:r>
    </w:p>
    <w:p w14:paraId="279F64CE" w14:textId="35C5A35E" w:rsidR="008F061A" w:rsidRDefault="008F061A">
      <w:pPr>
        <w:pStyle w:val="a3"/>
        <w:adjustRightInd/>
        <w:rPr>
          <w:rFonts w:ascii="ＭＳ 明朝" w:cs="Times New Roman"/>
          <w:spacing w:val="2"/>
        </w:rPr>
      </w:pPr>
      <w:r>
        <w:rPr>
          <w:rFonts w:ascii="ＭＳ 明朝" w:cs="Times New Roman" w:hint="eastAsia"/>
          <w:spacing w:val="2"/>
        </w:rPr>
        <w:t xml:space="preserve">　イ　</w:t>
      </w:r>
      <w:r w:rsidR="002C57F0">
        <w:rPr>
          <w:rFonts w:ascii="ＭＳ 明朝" w:cs="Times New Roman" w:hint="eastAsia"/>
          <w:spacing w:val="2"/>
        </w:rPr>
        <w:t>次に、</w:t>
      </w:r>
      <w:r>
        <w:rPr>
          <w:rFonts w:ascii="ＭＳ 明朝" w:cs="Times New Roman" w:hint="eastAsia"/>
          <w:spacing w:val="2"/>
        </w:rPr>
        <w:t>高さ制限について</w:t>
      </w:r>
      <w:r w:rsidR="002C57F0">
        <w:rPr>
          <w:rFonts w:ascii="ＭＳ 明朝" w:cs="Times New Roman" w:hint="eastAsia"/>
          <w:spacing w:val="2"/>
        </w:rPr>
        <w:t>です。</w:t>
      </w:r>
    </w:p>
    <w:p w14:paraId="1FD39D1F" w14:textId="7E1941A7" w:rsidR="008F061A" w:rsidRDefault="006C5A1C" w:rsidP="006C5A1C">
      <w:pPr>
        <w:pStyle w:val="a3"/>
        <w:adjustRightInd/>
        <w:ind w:left="424" w:hangingChars="171" w:hanging="424"/>
        <w:rPr>
          <w:rFonts w:ascii="ＭＳ 明朝" w:cs="Times New Roman"/>
          <w:spacing w:val="2"/>
        </w:rPr>
      </w:pPr>
      <w:r>
        <w:rPr>
          <w:rFonts w:ascii="ＭＳ 明朝" w:cs="Times New Roman" w:hint="eastAsia"/>
          <w:spacing w:val="2"/>
        </w:rPr>
        <w:t xml:space="preserve">　　　高さ制限について原判決は、控訴人９の自宅は米軍の高さ制限に抵触しない</w:t>
      </w:r>
      <w:r w:rsidR="00CB6D86">
        <w:rPr>
          <w:rFonts w:ascii="ＭＳ 明朝" w:cs="Times New Roman" w:hint="eastAsia"/>
          <w:spacing w:val="2"/>
        </w:rPr>
        <w:t>こと</w:t>
      </w:r>
      <w:r>
        <w:rPr>
          <w:rFonts w:ascii="ＭＳ 明朝" w:cs="Times New Roman" w:hint="eastAsia"/>
          <w:spacing w:val="2"/>
        </w:rPr>
        <w:t>を理由に、原告適格を否定しました。</w:t>
      </w:r>
    </w:p>
    <w:p w14:paraId="1D36C2C3" w14:textId="77777777" w:rsidR="006C5A1C" w:rsidRDefault="006C5A1C" w:rsidP="006C5A1C">
      <w:pPr>
        <w:pStyle w:val="a3"/>
        <w:adjustRightInd/>
        <w:ind w:left="424" w:hangingChars="171" w:hanging="424"/>
      </w:pPr>
      <w:r>
        <w:rPr>
          <w:rFonts w:ascii="ＭＳ 明朝" w:cs="Times New Roman" w:hint="eastAsia"/>
          <w:spacing w:val="2"/>
        </w:rPr>
        <w:t xml:space="preserve">　　　しかしながら、</w:t>
      </w:r>
      <w:r w:rsidRPr="0045325E">
        <w:rPr>
          <w:rFonts w:hint="eastAsia"/>
        </w:rPr>
        <w:t>米軍が基準とする高さ制限が及ぶ範囲の者については、仮に現時点で建物の高さが米軍基準の高さ制限に抵触していないとしても、原告適格が認められるべき</w:t>
      </w:r>
      <w:r>
        <w:rPr>
          <w:rFonts w:hint="eastAsia"/>
        </w:rPr>
        <w:t>であり、検討対象は控訴人９に限らず、その他の控訴人らについても検討されるべきでありました。</w:t>
      </w:r>
    </w:p>
    <w:p w14:paraId="5714235A" w14:textId="77777777" w:rsidR="006C5A1C" w:rsidRDefault="006C5A1C" w:rsidP="006C5A1C">
      <w:pPr>
        <w:pStyle w:val="a3"/>
        <w:adjustRightInd/>
        <w:ind w:leftChars="170" w:left="415" w:firstLineChars="119" w:firstLine="290"/>
      </w:pPr>
      <w:r w:rsidRPr="0045325E">
        <w:rPr>
          <w:rFonts w:hint="eastAsia"/>
        </w:rPr>
        <w:t>そもそも、高さ制限について出発点とすべき議論は、国内法において一定の土地利用規制を行わない限り、現行の都市計画・建築基準・条例等の許す範囲で</w:t>
      </w:r>
      <w:r w:rsidRPr="0045325E">
        <w:rPr>
          <w:rFonts w:hint="eastAsia"/>
        </w:rPr>
        <w:lastRenderedPageBreak/>
        <w:t>の最大値までの高さの建築行為は</w:t>
      </w:r>
      <w:r>
        <w:rPr>
          <w:rFonts w:hint="eastAsia"/>
        </w:rPr>
        <w:t>、</w:t>
      </w:r>
      <w:r w:rsidRPr="0045325E">
        <w:rPr>
          <w:rFonts w:hint="eastAsia"/>
        </w:rPr>
        <w:t>およそ自由であるという</w:t>
      </w:r>
      <w:r>
        <w:rPr>
          <w:rFonts w:hint="eastAsia"/>
        </w:rPr>
        <w:t>点です</w:t>
      </w:r>
      <w:r w:rsidRPr="0045325E">
        <w:rPr>
          <w:rFonts w:hint="eastAsia"/>
        </w:rPr>
        <w:t>。その上で、公水法４条１項１号の「国土利用上適正かつ合理的」という要件</w:t>
      </w:r>
      <w:r w:rsidRPr="0045325E">
        <w:t>、</w:t>
      </w:r>
      <w:r w:rsidRPr="0045325E">
        <w:rPr>
          <w:rFonts w:hint="eastAsia"/>
        </w:rPr>
        <w:t>及び、同２号の</w:t>
      </w:r>
      <w:r w:rsidRPr="0045325E">
        <w:t>「災害防止につき十分配慮せられたるもの」</w:t>
      </w:r>
      <w:r w:rsidRPr="0045325E">
        <w:rPr>
          <w:rFonts w:hint="eastAsia"/>
        </w:rPr>
        <w:t>という</w:t>
      </w:r>
      <w:r w:rsidRPr="0045325E">
        <w:t>要件</w:t>
      </w:r>
      <w:r w:rsidRPr="0045325E">
        <w:rPr>
          <w:rFonts w:hint="eastAsia"/>
        </w:rPr>
        <w:t>を満たすためには、国内法令で許される高さの建築行為を控訴人</w:t>
      </w:r>
      <w:r>
        <w:rPr>
          <w:rFonts w:hint="eastAsia"/>
        </w:rPr>
        <w:t>ら</w:t>
      </w:r>
      <w:r w:rsidRPr="0045325E">
        <w:rPr>
          <w:rFonts w:hint="eastAsia"/>
        </w:rPr>
        <w:t>が行ったとしても、埋立てないしそれに伴う米軍基地供用によって米軍機と建物との衝突等の災害が生じることの無いよう、法整備等の安全性が確保されていることが必要とな</w:t>
      </w:r>
      <w:r>
        <w:rPr>
          <w:rFonts w:hint="eastAsia"/>
        </w:rPr>
        <w:t>るはずです</w:t>
      </w:r>
      <w:r w:rsidRPr="0045325E">
        <w:rPr>
          <w:rFonts w:hint="eastAsia"/>
        </w:rPr>
        <w:t>。</w:t>
      </w:r>
    </w:p>
    <w:p w14:paraId="724114B4" w14:textId="77777777" w:rsidR="0052132E" w:rsidRDefault="006C5A1C" w:rsidP="0052132E">
      <w:pPr>
        <w:pStyle w:val="a3"/>
        <w:adjustRightInd/>
        <w:ind w:leftChars="170" w:left="415" w:firstLineChars="119" w:firstLine="290"/>
      </w:pPr>
      <w:r w:rsidRPr="0045325E">
        <w:rPr>
          <w:rFonts w:hint="eastAsia"/>
        </w:rPr>
        <w:t>しかしながら、高さ制限に関する米軍の基準という、いわば「ガラスの天井」が存在しており、それだけでも原告適格が認められるべきである</w:t>
      </w:r>
      <w:r>
        <w:rPr>
          <w:rFonts w:hint="eastAsia"/>
        </w:rPr>
        <w:t>ところ、</w:t>
      </w:r>
      <w:r w:rsidRPr="0045325E">
        <w:rPr>
          <w:rFonts w:hint="eastAsia"/>
        </w:rPr>
        <w:t>本件ではそのような「ガラスの天井」があるにもかかわらず、それに対する何らの法的措置をとらず、後に建築行為がわかった段階で必要に応じて調整するという</w:t>
      </w:r>
      <w:r>
        <w:rPr>
          <w:rFonts w:hint="eastAsia"/>
        </w:rPr>
        <w:t>のが国の姿勢ということが明らかとなっています。このような状況では、</w:t>
      </w:r>
      <w:r w:rsidRPr="0045325E">
        <w:rPr>
          <w:rFonts w:hint="eastAsia"/>
        </w:rPr>
        <w:t>およそ災害防止について十分に配慮されているとは言えず、</w:t>
      </w:r>
      <w:r w:rsidR="0052132E">
        <w:rPr>
          <w:rFonts w:hint="eastAsia"/>
        </w:rPr>
        <w:t>本件新基地建設事業が</w:t>
      </w:r>
      <w:r w:rsidRPr="0045325E">
        <w:rPr>
          <w:rFonts w:hint="eastAsia"/>
        </w:rPr>
        <w:t>国土利用上適正かつ</w:t>
      </w:r>
      <w:r w:rsidR="0052132E">
        <w:rPr>
          <w:rFonts w:hint="eastAsia"/>
        </w:rPr>
        <w:t>合理的</w:t>
      </w:r>
      <w:r w:rsidRPr="0045325E">
        <w:rPr>
          <w:rFonts w:hint="eastAsia"/>
        </w:rPr>
        <w:t>と言え</w:t>
      </w:r>
      <w:r w:rsidR="0052132E">
        <w:rPr>
          <w:rFonts w:hint="eastAsia"/>
        </w:rPr>
        <w:t>ません</w:t>
      </w:r>
      <w:r w:rsidRPr="0045325E">
        <w:rPr>
          <w:rFonts w:hint="eastAsia"/>
        </w:rPr>
        <w:t>。</w:t>
      </w:r>
    </w:p>
    <w:p w14:paraId="57F658F1" w14:textId="77777777" w:rsidR="0052132E" w:rsidRDefault="006C5A1C" w:rsidP="0052132E">
      <w:pPr>
        <w:pStyle w:val="a3"/>
        <w:adjustRightInd/>
        <w:ind w:leftChars="170" w:left="415" w:firstLineChars="119" w:firstLine="290"/>
      </w:pPr>
      <w:r w:rsidRPr="0045325E">
        <w:rPr>
          <w:rFonts w:hint="eastAsia"/>
        </w:rPr>
        <w:t>したがって、米軍が基準とする高さ制限が及ぶ範囲の者については、公水法が保護する法律上の利益が侵害ないし影響を受けているのは明らかである</w:t>
      </w:r>
      <w:r w:rsidR="0052132E">
        <w:rPr>
          <w:rFonts w:hint="eastAsia"/>
        </w:rPr>
        <w:t>こと</w:t>
      </w:r>
      <w:r w:rsidRPr="0045325E">
        <w:rPr>
          <w:rFonts w:hint="eastAsia"/>
        </w:rPr>
        <w:t>から、原告適格が認められるべきであ</w:t>
      </w:r>
      <w:r w:rsidR="0052132E">
        <w:rPr>
          <w:rFonts w:hint="eastAsia"/>
        </w:rPr>
        <w:t>ります</w:t>
      </w:r>
      <w:r w:rsidRPr="0045325E">
        <w:rPr>
          <w:rFonts w:hint="eastAsia"/>
        </w:rPr>
        <w:t>。</w:t>
      </w:r>
    </w:p>
    <w:p w14:paraId="7B097715" w14:textId="21F695E1" w:rsidR="006C5A1C" w:rsidRDefault="0052132E" w:rsidP="0052132E">
      <w:pPr>
        <w:pStyle w:val="a3"/>
        <w:adjustRightInd/>
        <w:ind w:leftChars="170" w:left="415" w:firstLineChars="119" w:firstLine="290"/>
        <w:rPr>
          <w:rFonts w:ascii="ＭＳ 明朝" w:cs="Times New Roman" w:hint="eastAsia"/>
          <w:spacing w:val="2"/>
        </w:rPr>
      </w:pPr>
      <w:r>
        <w:rPr>
          <w:rFonts w:hint="eastAsia"/>
        </w:rPr>
        <w:t>なお、この</w:t>
      </w:r>
      <w:r w:rsidR="006C5A1C" w:rsidRPr="0045325E">
        <w:rPr>
          <w:rFonts w:hint="eastAsia"/>
        </w:rPr>
        <w:t>高さ制限に関して</w:t>
      </w:r>
      <w:r>
        <w:rPr>
          <w:rFonts w:hint="eastAsia"/>
        </w:rPr>
        <w:t>も</w:t>
      </w:r>
      <w:r w:rsidR="006C5A1C" w:rsidRPr="0045325E">
        <w:rPr>
          <w:rFonts w:hint="eastAsia"/>
        </w:rPr>
        <w:t>、</w:t>
      </w:r>
      <w:r w:rsidR="006C5A1C">
        <w:rPr>
          <w:rFonts w:hint="eastAsia"/>
        </w:rPr>
        <w:t>前掲</w:t>
      </w:r>
      <w:r w:rsidR="006C5A1C" w:rsidRPr="0045325E">
        <w:rPr>
          <w:rFonts w:hint="eastAsia"/>
        </w:rPr>
        <w:t>福井意見書</w:t>
      </w:r>
      <w:r w:rsidR="006C5A1C">
        <w:rPr>
          <w:rFonts w:hint="eastAsia"/>
        </w:rPr>
        <w:t>（甲１８６）</w:t>
      </w:r>
      <w:r w:rsidR="006C5A1C" w:rsidRPr="0045325E">
        <w:rPr>
          <w:rFonts w:hint="eastAsia"/>
        </w:rPr>
        <w:t>の１８頁以下、福井論文（七）</w:t>
      </w:r>
      <w:r w:rsidR="006C5A1C">
        <w:rPr>
          <w:rFonts w:hint="eastAsia"/>
        </w:rPr>
        <w:t>（甲１８７</w:t>
      </w:r>
      <w:r w:rsidR="006C5A1C" w:rsidRPr="0045325E">
        <w:rPr>
          <w:rFonts w:hint="eastAsia"/>
        </w:rPr>
        <w:t>）</w:t>
      </w:r>
      <w:r w:rsidR="006C5A1C">
        <w:rPr>
          <w:rFonts w:hint="eastAsia"/>
        </w:rPr>
        <w:t>の</w:t>
      </w:r>
      <w:r w:rsidR="006C5A1C" w:rsidRPr="0045325E">
        <w:rPr>
          <w:rFonts w:hint="eastAsia"/>
        </w:rPr>
        <w:t>３６頁以下</w:t>
      </w:r>
      <w:r>
        <w:rPr>
          <w:rFonts w:hint="eastAsia"/>
        </w:rPr>
        <w:t>に同教授の論理的かつ説得的な意見が記載されいてるため、参考にしてください。</w:t>
      </w:r>
    </w:p>
    <w:p w14:paraId="73E265A7" w14:textId="1CB0F058" w:rsidR="008F061A" w:rsidRDefault="00463DB7">
      <w:pPr>
        <w:pStyle w:val="a3"/>
        <w:adjustRightInd/>
        <w:rPr>
          <w:rFonts w:ascii="ＭＳ 明朝" w:cs="Times New Roman"/>
          <w:spacing w:val="2"/>
        </w:rPr>
      </w:pPr>
      <w:r>
        <w:rPr>
          <w:rFonts w:ascii="ＭＳ 明朝" w:cs="Times New Roman" w:hint="eastAsia"/>
          <w:spacing w:val="2"/>
        </w:rPr>
        <w:t xml:space="preserve">３　</w:t>
      </w:r>
      <w:r w:rsidR="002C57F0">
        <w:rPr>
          <w:rFonts w:ascii="ＭＳ 明朝" w:cs="Times New Roman" w:hint="eastAsia"/>
          <w:spacing w:val="2"/>
        </w:rPr>
        <w:t>次に、</w:t>
      </w:r>
      <w:r>
        <w:rPr>
          <w:rFonts w:ascii="ＭＳ 明朝" w:cs="Times New Roman" w:hint="eastAsia"/>
          <w:spacing w:val="2"/>
        </w:rPr>
        <w:t>主張制限論について</w:t>
      </w:r>
      <w:r w:rsidR="002C57F0">
        <w:rPr>
          <w:rFonts w:ascii="ＭＳ 明朝" w:cs="Times New Roman" w:hint="eastAsia"/>
          <w:spacing w:val="2"/>
        </w:rPr>
        <w:t>です。</w:t>
      </w:r>
    </w:p>
    <w:p w14:paraId="61B34324" w14:textId="4001982B" w:rsidR="003241A9" w:rsidRDefault="0052132E" w:rsidP="003241A9">
      <w:pPr>
        <w:pStyle w:val="a3"/>
        <w:adjustRightInd/>
        <w:ind w:left="248" w:hangingChars="100" w:hanging="248"/>
        <w:rPr>
          <w:rFonts w:ascii="ＭＳ 明朝" w:cs="Times New Roman"/>
          <w:spacing w:val="2"/>
        </w:rPr>
      </w:pPr>
      <w:r>
        <w:rPr>
          <w:rFonts w:ascii="ＭＳ 明朝" w:cs="Times New Roman" w:hint="eastAsia"/>
          <w:spacing w:val="2"/>
        </w:rPr>
        <w:t xml:space="preserve">　　原判決は、仮に控訴人らに原告適格が認められたとしても</w:t>
      </w:r>
      <w:r w:rsidR="003241A9">
        <w:rPr>
          <w:rFonts w:ascii="ＭＳ 明朝" w:cs="Times New Roman" w:hint="eastAsia"/>
          <w:spacing w:val="2"/>
        </w:rPr>
        <w:t>、</w:t>
      </w:r>
      <w:r w:rsidR="003241A9" w:rsidRPr="00772D3D">
        <w:rPr>
          <w:rFonts w:ascii="ＭＳ 明朝" w:cs="Times New Roman" w:hint="eastAsia"/>
          <w:spacing w:val="2"/>
        </w:rPr>
        <w:t>本件撤回処分又はこれを取り消した本件裁決の適法性は、飽くまでも、同項</w:t>
      </w:r>
      <w:r w:rsidR="003241A9">
        <w:rPr>
          <w:rFonts w:ascii="ＭＳ 明朝" w:cs="Times New Roman" w:hint="eastAsia"/>
          <w:spacing w:val="2"/>
        </w:rPr>
        <w:t>１</w:t>
      </w:r>
      <w:r w:rsidR="003241A9" w:rsidRPr="00772D3D">
        <w:rPr>
          <w:rFonts w:ascii="ＭＳ 明朝" w:cs="Times New Roman" w:hint="eastAsia"/>
          <w:spacing w:val="2"/>
        </w:rPr>
        <w:t>号及び</w:t>
      </w:r>
      <w:r w:rsidR="003241A9">
        <w:rPr>
          <w:rFonts w:ascii="ＭＳ 明朝" w:cs="Times New Roman" w:hint="eastAsia"/>
          <w:spacing w:val="2"/>
        </w:rPr>
        <w:t>２</w:t>
      </w:r>
      <w:r w:rsidR="003241A9" w:rsidRPr="00772D3D">
        <w:rPr>
          <w:rFonts w:ascii="ＭＳ 明朝" w:cs="Times New Roman" w:hint="eastAsia"/>
          <w:spacing w:val="2"/>
        </w:rPr>
        <w:t>号との適合性のみによって決せられるものであり、本件撤回処分又はこれを取り消した本件裁決の適法性との関係で、同項</w:t>
      </w:r>
      <w:r w:rsidR="003241A9">
        <w:rPr>
          <w:rFonts w:ascii="ＭＳ 明朝" w:cs="Times New Roman" w:hint="eastAsia"/>
          <w:spacing w:val="2"/>
        </w:rPr>
        <w:t>３</w:t>
      </w:r>
      <w:r w:rsidR="003241A9" w:rsidRPr="00772D3D">
        <w:rPr>
          <w:rFonts w:ascii="ＭＳ 明朝" w:cs="Times New Roman" w:hint="eastAsia"/>
          <w:spacing w:val="2"/>
        </w:rPr>
        <w:t>号ないし</w:t>
      </w:r>
      <w:r w:rsidR="003241A9">
        <w:rPr>
          <w:rFonts w:ascii="ＭＳ 明朝" w:cs="Times New Roman" w:hint="eastAsia"/>
          <w:spacing w:val="2"/>
        </w:rPr>
        <w:t>６</w:t>
      </w:r>
      <w:r w:rsidR="003241A9" w:rsidRPr="00772D3D">
        <w:rPr>
          <w:rFonts w:ascii="ＭＳ 明朝" w:cs="Times New Roman" w:hint="eastAsia"/>
          <w:spacing w:val="2"/>
        </w:rPr>
        <w:t>号との適合性を問題とする余地はない</w:t>
      </w:r>
      <w:r w:rsidR="002C57F0">
        <w:rPr>
          <w:rFonts w:ascii="ＭＳ 明朝" w:cs="Times New Roman" w:hint="eastAsia"/>
          <w:spacing w:val="2"/>
        </w:rPr>
        <w:t>、</w:t>
      </w:r>
      <w:r w:rsidR="003241A9">
        <w:rPr>
          <w:rFonts w:ascii="ＭＳ 明朝" w:cs="Times New Roman" w:hint="eastAsia"/>
          <w:spacing w:val="2"/>
        </w:rPr>
        <w:t>とします。</w:t>
      </w:r>
    </w:p>
    <w:p w14:paraId="47F25D53" w14:textId="27D0581B" w:rsidR="0052132E" w:rsidRDefault="003241A9" w:rsidP="003241A9">
      <w:pPr>
        <w:pStyle w:val="a3"/>
        <w:adjustRightInd/>
        <w:ind w:leftChars="100" w:left="244" w:firstLineChars="100" w:firstLine="248"/>
        <w:rPr>
          <w:rFonts w:ascii="ＭＳ 明朝" w:cs="Times New Roman"/>
          <w:spacing w:val="2"/>
        </w:rPr>
      </w:pPr>
      <w:r>
        <w:rPr>
          <w:rFonts w:ascii="ＭＳ 明朝" w:cs="Times New Roman" w:hint="eastAsia"/>
          <w:spacing w:val="2"/>
        </w:rPr>
        <w:t>しかしながら、福井</w:t>
      </w:r>
      <w:r w:rsidR="002C57F0">
        <w:rPr>
          <w:rFonts w:ascii="ＭＳ 明朝" w:cs="Times New Roman" w:hint="eastAsia"/>
          <w:spacing w:val="2"/>
        </w:rPr>
        <w:t>教授</w:t>
      </w:r>
      <w:r>
        <w:rPr>
          <w:rFonts w:ascii="ＭＳ 明朝" w:cs="Times New Roman" w:hint="eastAsia"/>
          <w:spacing w:val="2"/>
        </w:rPr>
        <w:t>が指摘するように、</w:t>
      </w:r>
      <w:r w:rsidR="006A6F42" w:rsidRPr="00772D3D">
        <w:rPr>
          <w:rFonts w:ascii="ＭＳ 明朝" w:cs="Times New Roman" w:hint="eastAsia"/>
          <w:spacing w:val="2"/>
        </w:rPr>
        <w:t>２００４年行訴法改正により行訴</w:t>
      </w:r>
      <w:r w:rsidR="006A6F42" w:rsidRPr="00772D3D">
        <w:rPr>
          <w:rFonts w:ascii="ＭＳ 明朝" w:cs="Times New Roman" w:hint="eastAsia"/>
          <w:spacing w:val="2"/>
        </w:rPr>
        <w:lastRenderedPageBreak/>
        <w:t>法９条２項が追加されたことにより、何らかの埋立免許要件に関する原告適格が認められた原告が主張できる違法事由は、</w:t>
      </w:r>
      <w:r w:rsidR="006A6F42">
        <w:rPr>
          <w:rFonts w:ascii="ＭＳ 明朝" w:cs="Times New Roman" w:hint="eastAsia"/>
          <w:spacing w:val="2"/>
        </w:rPr>
        <w:t>公有水面埋立</w:t>
      </w:r>
      <w:r w:rsidR="006A6F42" w:rsidRPr="00772D3D">
        <w:rPr>
          <w:rFonts w:ascii="ＭＳ 明朝" w:cs="Times New Roman" w:hint="eastAsia"/>
          <w:spacing w:val="2"/>
        </w:rPr>
        <w:t>法４条１項１～６号までの要件に関するすべての違法事由であり、行訴法１０条１項により、これらの違法事由の主張を制限する理由は</w:t>
      </w:r>
      <w:r w:rsidR="006A6F42">
        <w:rPr>
          <w:rFonts w:ascii="ＭＳ 明朝" w:cs="Times New Roman" w:hint="eastAsia"/>
          <w:spacing w:val="2"/>
        </w:rPr>
        <w:t>ありません</w:t>
      </w:r>
      <w:r w:rsidR="006A6F42" w:rsidRPr="00772D3D">
        <w:rPr>
          <w:rFonts w:ascii="ＭＳ 明朝" w:cs="Times New Roman" w:hint="eastAsia"/>
          <w:spacing w:val="2"/>
        </w:rPr>
        <w:t>。</w:t>
      </w:r>
    </w:p>
    <w:p w14:paraId="68B175B5" w14:textId="23CFBCD9" w:rsidR="006A6F42" w:rsidRDefault="002C57F0" w:rsidP="003241A9">
      <w:pPr>
        <w:pStyle w:val="a3"/>
        <w:adjustRightInd/>
        <w:ind w:leftChars="100" w:left="244" w:firstLineChars="100" w:firstLine="248"/>
        <w:rPr>
          <w:rFonts w:ascii="ＭＳ 明朝" w:cs="Times New Roman" w:hint="eastAsia"/>
          <w:spacing w:val="2"/>
        </w:rPr>
      </w:pPr>
      <w:r>
        <w:rPr>
          <w:rFonts w:ascii="ＭＳ 明朝" w:cs="Times New Roman" w:hint="eastAsia"/>
          <w:spacing w:val="2"/>
        </w:rPr>
        <w:t>この点に関しては、</w:t>
      </w:r>
      <w:r>
        <w:rPr>
          <w:rFonts w:ascii="ＭＳ 明朝" w:cs="Times New Roman" w:hint="eastAsia"/>
          <w:spacing w:val="2"/>
        </w:rPr>
        <w:t>控訴人らの主張の大部分</w:t>
      </w:r>
      <w:r>
        <w:rPr>
          <w:rFonts w:ascii="ＭＳ 明朝" w:cs="Times New Roman" w:hint="eastAsia"/>
          <w:spacing w:val="2"/>
        </w:rPr>
        <w:t>が、既に提出済みの福井意見書（甲１８６）及び、自治研究に掲載された福井論文（一）ないし（七）（甲１７９ないし１８４、甲１８７）に依拠しているため、これを確認されてください。</w:t>
      </w:r>
    </w:p>
    <w:p w14:paraId="5779F9D4" w14:textId="5264B7C7" w:rsidR="00463DB7" w:rsidRDefault="00463DB7">
      <w:pPr>
        <w:pStyle w:val="a3"/>
        <w:adjustRightInd/>
        <w:rPr>
          <w:rFonts w:ascii="ＭＳ 明朝" w:cs="Times New Roman" w:hint="eastAsia"/>
          <w:spacing w:val="2"/>
        </w:rPr>
      </w:pPr>
      <w:r>
        <w:rPr>
          <w:rFonts w:ascii="ＭＳ 明朝" w:cs="Times New Roman" w:hint="eastAsia"/>
          <w:spacing w:val="2"/>
        </w:rPr>
        <w:t xml:space="preserve">４　</w:t>
      </w:r>
      <w:r w:rsidR="002C57F0">
        <w:rPr>
          <w:rFonts w:ascii="ＭＳ 明朝" w:cs="Times New Roman" w:hint="eastAsia"/>
          <w:spacing w:val="2"/>
        </w:rPr>
        <w:t>最後に、</w:t>
      </w:r>
      <w:r>
        <w:rPr>
          <w:rFonts w:ascii="ＭＳ 明朝" w:cs="Times New Roman" w:hint="eastAsia"/>
          <w:spacing w:val="2"/>
        </w:rPr>
        <w:t>裁決の違法性について</w:t>
      </w:r>
      <w:r w:rsidR="002C57F0">
        <w:rPr>
          <w:rFonts w:ascii="ＭＳ 明朝" w:cs="Times New Roman" w:hint="eastAsia"/>
          <w:spacing w:val="2"/>
        </w:rPr>
        <w:t>です。</w:t>
      </w:r>
    </w:p>
    <w:p w14:paraId="3922E97E" w14:textId="2072A9D8" w:rsidR="008F061A" w:rsidRDefault="00463DB7">
      <w:pPr>
        <w:pStyle w:val="a3"/>
        <w:adjustRightInd/>
        <w:rPr>
          <w:rFonts w:ascii="ＭＳ 明朝" w:cs="Times New Roman"/>
          <w:spacing w:val="2"/>
        </w:rPr>
      </w:pPr>
      <w:r>
        <w:rPr>
          <w:rFonts w:ascii="ＭＳ 明朝" w:cs="Times New Roman" w:hint="eastAsia"/>
          <w:spacing w:val="2"/>
        </w:rPr>
        <w:t xml:space="preserve">　　</w:t>
      </w:r>
      <w:r w:rsidR="002C57F0">
        <w:rPr>
          <w:rFonts w:ascii="ＭＳ 明朝" w:cs="Times New Roman" w:hint="eastAsia"/>
          <w:spacing w:val="2"/>
        </w:rPr>
        <w:t>控訴理由書では、本件裁決に</w:t>
      </w:r>
      <w:r>
        <w:rPr>
          <w:rFonts w:ascii="ＭＳ 明朝" w:cs="Times New Roman" w:hint="eastAsia"/>
          <w:spacing w:val="2"/>
        </w:rPr>
        <w:t>手続的な瑕疵があることを</w:t>
      </w:r>
      <w:r w:rsidR="002C57F0">
        <w:rPr>
          <w:rFonts w:ascii="ＭＳ 明朝" w:cs="Times New Roman" w:hint="eastAsia"/>
          <w:spacing w:val="2"/>
        </w:rPr>
        <w:t>指摘しました</w:t>
      </w:r>
      <w:r>
        <w:rPr>
          <w:rFonts w:ascii="ＭＳ 明朝" w:cs="Times New Roman" w:hint="eastAsia"/>
          <w:spacing w:val="2"/>
        </w:rPr>
        <w:t>。</w:t>
      </w:r>
    </w:p>
    <w:p w14:paraId="524A9C44" w14:textId="77777777" w:rsidR="00EE6895" w:rsidRDefault="00463DB7" w:rsidP="002C57F0">
      <w:pPr>
        <w:pStyle w:val="a3"/>
        <w:adjustRightInd/>
        <w:ind w:left="248" w:hangingChars="100" w:hanging="248"/>
        <w:rPr>
          <w:rFonts w:ascii="ＭＳ 明朝" w:cs="Times New Roman"/>
          <w:spacing w:val="2"/>
        </w:rPr>
      </w:pPr>
      <w:r>
        <w:rPr>
          <w:rFonts w:ascii="ＭＳ 明朝" w:cs="Times New Roman" w:hint="eastAsia"/>
          <w:spacing w:val="2"/>
        </w:rPr>
        <w:t xml:space="preserve">　　加えて、</w:t>
      </w:r>
      <w:r w:rsidR="002C57F0">
        <w:rPr>
          <w:rFonts w:ascii="ＭＳ 明朝" w:cs="Times New Roman" w:hint="eastAsia"/>
          <w:spacing w:val="2"/>
        </w:rPr>
        <w:t>裁決の判断内容が誤っていることについても、第２６準備書面で主張しています。</w:t>
      </w:r>
    </w:p>
    <w:p w14:paraId="49460BB2" w14:textId="38A53C58" w:rsidR="00463DB7" w:rsidRDefault="00EE6895" w:rsidP="00EE6895">
      <w:pPr>
        <w:pStyle w:val="a3"/>
        <w:adjustRightInd/>
        <w:ind w:leftChars="100" w:left="244" w:firstLineChars="100" w:firstLine="248"/>
        <w:rPr>
          <w:rFonts w:ascii="ＭＳ 明朝" w:cs="Times New Roman" w:hint="eastAsia"/>
          <w:spacing w:val="2"/>
        </w:rPr>
      </w:pPr>
      <w:r>
        <w:rPr>
          <w:rFonts w:ascii="ＭＳ 明朝" w:cs="Times New Roman" w:hint="eastAsia"/>
          <w:spacing w:val="2"/>
        </w:rPr>
        <w:t>そして、特に沖縄防衛局が示した</w:t>
      </w:r>
      <w:r w:rsidR="00463DB7">
        <w:rPr>
          <w:rFonts w:ascii="ＭＳ 明朝" w:cs="Times New Roman" w:hint="eastAsia"/>
          <w:spacing w:val="2"/>
        </w:rPr>
        <w:t>工事</w:t>
      </w:r>
      <w:r w:rsidR="002C57F0">
        <w:rPr>
          <w:rFonts w:ascii="ＭＳ 明朝" w:cs="Times New Roman" w:hint="eastAsia"/>
          <w:spacing w:val="2"/>
        </w:rPr>
        <w:t>の方法</w:t>
      </w:r>
      <w:r>
        <w:rPr>
          <w:rFonts w:ascii="ＭＳ 明朝" w:cs="Times New Roman" w:hint="eastAsia"/>
          <w:spacing w:val="2"/>
        </w:rPr>
        <w:t>について、これに</w:t>
      </w:r>
      <w:r w:rsidR="00463DB7">
        <w:rPr>
          <w:rFonts w:ascii="ＭＳ 明朝" w:cs="Times New Roman" w:hint="eastAsia"/>
          <w:spacing w:val="2"/>
        </w:rPr>
        <w:t>無理があ</w:t>
      </w:r>
      <w:r>
        <w:rPr>
          <w:rFonts w:ascii="ＭＳ 明朝" w:cs="Times New Roman" w:hint="eastAsia"/>
          <w:spacing w:val="2"/>
        </w:rPr>
        <w:t>り、工事自体が不可能であることについて</w:t>
      </w:r>
      <w:r w:rsidR="00463DB7">
        <w:rPr>
          <w:rFonts w:ascii="ＭＳ 明朝" w:cs="Times New Roman" w:hint="eastAsia"/>
          <w:spacing w:val="2"/>
        </w:rPr>
        <w:t>、</w:t>
      </w:r>
      <w:r>
        <w:rPr>
          <w:rFonts w:ascii="ＭＳ 明朝" w:cs="Times New Roman" w:hint="eastAsia"/>
          <w:spacing w:val="2"/>
        </w:rPr>
        <w:t>今後、</w:t>
      </w:r>
      <w:r w:rsidR="00463DB7">
        <w:rPr>
          <w:rFonts w:ascii="ＭＳ 明朝" w:cs="Times New Roman" w:hint="eastAsia"/>
          <w:spacing w:val="2"/>
        </w:rPr>
        <w:t>専門家の意見書に基づき、主張を追加する予定</w:t>
      </w:r>
      <w:r>
        <w:rPr>
          <w:rFonts w:ascii="ＭＳ 明朝" w:cs="Times New Roman" w:hint="eastAsia"/>
          <w:spacing w:val="2"/>
        </w:rPr>
        <w:t>です</w:t>
      </w:r>
      <w:r w:rsidR="00463DB7">
        <w:rPr>
          <w:rFonts w:ascii="ＭＳ 明朝" w:cs="Times New Roman" w:hint="eastAsia"/>
          <w:spacing w:val="2"/>
        </w:rPr>
        <w:t>。</w:t>
      </w:r>
    </w:p>
    <w:p w14:paraId="239F06EF" w14:textId="0F868BC6" w:rsidR="008F061A" w:rsidRDefault="00EE6895">
      <w:pPr>
        <w:pStyle w:val="a3"/>
        <w:adjustRightInd/>
        <w:rPr>
          <w:rFonts w:ascii="ＭＳ 明朝" w:cs="Times New Roman"/>
          <w:spacing w:val="2"/>
        </w:rPr>
      </w:pPr>
      <w:r>
        <w:rPr>
          <w:rFonts w:ascii="ＭＳ 明朝" w:cs="Times New Roman" w:hint="eastAsia"/>
          <w:spacing w:val="2"/>
        </w:rPr>
        <w:t>５　以上のとおり、原判決には明確な誤りがあ</w:t>
      </w:r>
      <w:r w:rsidR="001116B7">
        <w:rPr>
          <w:rFonts w:ascii="ＭＳ 明朝" w:cs="Times New Roman" w:hint="eastAsia"/>
          <w:spacing w:val="2"/>
        </w:rPr>
        <w:t>ります。</w:t>
      </w:r>
    </w:p>
    <w:p w14:paraId="6187C3E5" w14:textId="49D08432" w:rsidR="00463DB7" w:rsidRDefault="001116B7" w:rsidP="001116B7">
      <w:pPr>
        <w:pStyle w:val="a3"/>
        <w:adjustRightInd/>
        <w:ind w:left="283" w:hangingChars="114" w:hanging="283"/>
        <w:rPr>
          <w:rFonts w:ascii="ＭＳ 明朝" w:cs="Times New Roman"/>
          <w:spacing w:val="2"/>
        </w:rPr>
      </w:pPr>
      <w:r>
        <w:rPr>
          <w:rFonts w:ascii="ＭＳ 明朝" w:cs="Times New Roman" w:hint="eastAsia"/>
          <w:spacing w:val="2"/>
        </w:rPr>
        <w:t xml:space="preserve">　　控訴人らの今後の主張や提出証拠も含めて、控訴審においては原判決の誤りを正し、法に基づく正当な判断をされることを期待します。</w:t>
      </w:r>
    </w:p>
    <w:p w14:paraId="7CF39420" w14:textId="4F76828D" w:rsidR="00947304" w:rsidRPr="001116B7" w:rsidRDefault="001116B7" w:rsidP="001116B7">
      <w:pPr>
        <w:pStyle w:val="a3"/>
        <w:adjustRightInd/>
        <w:jc w:val="right"/>
        <w:rPr>
          <w:rFonts w:ascii="ＭＳ 明朝" w:cs="Times New Roman"/>
          <w:spacing w:val="2"/>
        </w:rPr>
      </w:pPr>
      <w:r>
        <w:rPr>
          <w:rFonts w:ascii="ＭＳ 明朝" w:cs="Times New Roman" w:hint="eastAsia"/>
          <w:spacing w:val="2"/>
        </w:rPr>
        <w:t>以　上</w:t>
      </w:r>
    </w:p>
    <w:sectPr w:rsidR="00947304" w:rsidRPr="001116B7">
      <w:footerReference w:type="default" r:id="rId8"/>
      <w:type w:val="continuous"/>
      <w:pgSz w:w="11906" w:h="16838"/>
      <w:pgMar w:top="1984" w:right="1134" w:bottom="1530" w:left="1700" w:header="720" w:footer="720" w:gutter="0"/>
      <w:pgNumType w:start="1"/>
      <w:cols w:space="720"/>
      <w:noEndnote/>
      <w:docGrid w:type="linesAndChars" w:linePitch="51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5310" w14:textId="77777777" w:rsidR="00851E98" w:rsidRDefault="00851E98">
      <w:r>
        <w:separator/>
      </w:r>
    </w:p>
  </w:endnote>
  <w:endnote w:type="continuationSeparator" w:id="0">
    <w:p w14:paraId="757C9AB3" w14:textId="77777777" w:rsidR="00851E98" w:rsidRDefault="0085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6D1F" w14:textId="77777777" w:rsidR="00947304" w:rsidRDefault="00F924F5">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16867">
      <w:rPr>
        <w:rFonts w:cs="Times New Roman"/>
        <w:noProof/>
      </w:rPr>
      <w:t>38</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0940" w14:textId="77777777" w:rsidR="00851E98" w:rsidRDefault="00851E98">
      <w:r>
        <w:rPr>
          <w:rFonts w:ascii="ＭＳ 明朝" w:cs="Times New Roman"/>
          <w:sz w:val="2"/>
          <w:szCs w:val="2"/>
        </w:rPr>
        <w:continuationSeparator/>
      </w:r>
    </w:p>
  </w:footnote>
  <w:footnote w:type="continuationSeparator" w:id="0">
    <w:p w14:paraId="438FC161" w14:textId="77777777" w:rsidR="00851E98" w:rsidRDefault="00851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13A5F"/>
    <w:multiLevelType w:val="hybridMultilevel"/>
    <w:tmpl w:val="E20EEF58"/>
    <w:lvl w:ilvl="0" w:tplc="A3B83DCA">
      <w:start w:val="1"/>
      <w:numFmt w:val="decimalEnclosedParen"/>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num w:numId="1" w16cid:durableId="70440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dirty"/>
  <w:defaultTabStop w:val="980"/>
  <w:hyphenationZone w:val="0"/>
  <w:drawingGridHorizontalSpacing w:val="819"/>
  <w:drawingGridVerticalSpacing w:val="5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F5"/>
    <w:rsid w:val="00001C10"/>
    <w:rsid w:val="00020AFA"/>
    <w:rsid w:val="00030097"/>
    <w:rsid w:val="0006256C"/>
    <w:rsid w:val="0008296E"/>
    <w:rsid w:val="00087869"/>
    <w:rsid w:val="00090781"/>
    <w:rsid w:val="000B0D06"/>
    <w:rsid w:val="000D1846"/>
    <w:rsid w:val="00110B60"/>
    <w:rsid w:val="001116B7"/>
    <w:rsid w:val="001218A6"/>
    <w:rsid w:val="001403E1"/>
    <w:rsid w:val="00155684"/>
    <w:rsid w:val="001560AE"/>
    <w:rsid w:val="00161E9E"/>
    <w:rsid w:val="001870E1"/>
    <w:rsid w:val="001A2091"/>
    <w:rsid w:val="001B5518"/>
    <w:rsid w:val="001C789C"/>
    <w:rsid w:val="001D19C4"/>
    <w:rsid w:val="001F0A56"/>
    <w:rsid w:val="001F6120"/>
    <w:rsid w:val="00200698"/>
    <w:rsid w:val="00223D96"/>
    <w:rsid w:val="002311B5"/>
    <w:rsid w:val="00251F5E"/>
    <w:rsid w:val="00255D3C"/>
    <w:rsid w:val="00256D24"/>
    <w:rsid w:val="0025778E"/>
    <w:rsid w:val="00265E47"/>
    <w:rsid w:val="002738F8"/>
    <w:rsid w:val="0028269E"/>
    <w:rsid w:val="00283B02"/>
    <w:rsid w:val="002A6ADB"/>
    <w:rsid w:val="002A766A"/>
    <w:rsid w:val="002B4025"/>
    <w:rsid w:val="002C17FF"/>
    <w:rsid w:val="002C57F0"/>
    <w:rsid w:val="002D6878"/>
    <w:rsid w:val="002E203C"/>
    <w:rsid w:val="002E7A30"/>
    <w:rsid w:val="0030655A"/>
    <w:rsid w:val="00306DB4"/>
    <w:rsid w:val="0031627C"/>
    <w:rsid w:val="00322966"/>
    <w:rsid w:val="003241A9"/>
    <w:rsid w:val="0034454A"/>
    <w:rsid w:val="00370CC8"/>
    <w:rsid w:val="00387350"/>
    <w:rsid w:val="00395F27"/>
    <w:rsid w:val="003B2453"/>
    <w:rsid w:val="003B3C27"/>
    <w:rsid w:val="003B4043"/>
    <w:rsid w:val="003B54A6"/>
    <w:rsid w:val="003D3684"/>
    <w:rsid w:val="003F5953"/>
    <w:rsid w:val="00400262"/>
    <w:rsid w:val="004248B4"/>
    <w:rsid w:val="004266F8"/>
    <w:rsid w:val="00430206"/>
    <w:rsid w:val="0043206C"/>
    <w:rsid w:val="00432506"/>
    <w:rsid w:val="00453700"/>
    <w:rsid w:val="00463DB7"/>
    <w:rsid w:val="00464F8E"/>
    <w:rsid w:val="0048555F"/>
    <w:rsid w:val="004936EB"/>
    <w:rsid w:val="004B0772"/>
    <w:rsid w:val="004B1958"/>
    <w:rsid w:val="004B7075"/>
    <w:rsid w:val="004C17F9"/>
    <w:rsid w:val="004C365A"/>
    <w:rsid w:val="004C5259"/>
    <w:rsid w:val="004D0B12"/>
    <w:rsid w:val="004D22CF"/>
    <w:rsid w:val="004E4965"/>
    <w:rsid w:val="004F2FF5"/>
    <w:rsid w:val="00500828"/>
    <w:rsid w:val="0052077F"/>
    <w:rsid w:val="0052132E"/>
    <w:rsid w:val="00524C2D"/>
    <w:rsid w:val="005401C2"/>
    <w:rsid w:val="00541DEA"/>
    <w:rsid w:val="00542B8B"/>
    <w:rsid w:val="00544811"/>
    <w:rsid w:val="00572FF0"/>
    <w:rsid w:val="00573A7E"/>
    <w:rsid w:val="00575FF5"/>
    <w:rsid w:val="00581B54"/>
    <w:rsid w:val="005A09AA"/>
    <w:rsid w:val="005A2EE9"/>
    <w:rsid w:val="005C5478"/>
    <w:rsid w:val="005E15CF"/>
    <w:rsid w:val="005E26B2"/>
    <w:rsid w:val="005F78EC"/>
    <w:rsid w:val="00605AD5"/>
    <w:rsid w:val="00606E92"/>
    <w:rsid w:val="00614779"/>
    <w:rsid w:val="00641457"/>
    <w:rsid w:val="00645AC9"/>
    <w:rsid w:val="0064798B"/>
    <w:rsid w:val="00675F26"/>
    <w:rsid w:val="00683938"/>
    <w:rsid w:val="006A42A3"/>
    <w:rsid w:val="006A6F42"/>
    <w:rsid w:val="006C2CEE"/>
    <w:rsid w:val="006C5A1C"/>
    <w:rsid w:val="006C7943"/>
    <w:rsid w:val="006D0954"/>
    <w:rsid w:val="006D3C66"/>
    <w:rsid w:val="00702E33"/>
    <w:rsid w:val="00707009"/>
    <w:rsid w:val="007137E3"/>
    <w:rsid w:val="0071588B"/>
    <w:rsid w:val="00725C94"/>
    <w:rsid w:val="00731FAD"/>
    <w:rsid w:val="00732942"/>
    <w:rsid w:val="00734A99"/>
    <w:rsid w:val="00740731"/>
    <w:rsid w:val="00741DDA"/>
    <w:rsid w:val="00742332"/>
    <w:rsid w:val="00742DF6"/>
    <w:rsid w:val="0075173A"/>
    <w:rsid w:val="0075226A"/>
    <w:rsid w:val="00756C38"/>
    <w:rsid w:val="0076428C"/>
    <w:rsid w:val="00772D3D"/>
    <w:rsid w:val="00783CF6"/>
    <w:rsid w:val="00785884"/>
    <w:rsid w:val="007968F5"/>
    <w:rsid w:val="007B6DB0"/>
    <w:rsid w:val="007D6171"/>
    <w:rsid w:val="007D6502"/>
    <w:rsid w:val="007E3770"/>
    <w:rsid w:val="008002F3"/>
    <w:rsid w:val="00804CFB"/>
    <w:rsid w:val="008222E3"/>
    <w:rsid w:val="0083345A"/>
    <w:rsid w:val="00851E98"/>
    <w:rsid w:val="00875E0A"/>
    <w:rsid w:val="00877F28"/>
    <w:rsid w:val="008A3F43"/>
    <w:rsid w:val="008C2732"/>
    <w:rsid w:val="008D6266"/>
    <w:rsid w:val="008D64C6"/>
    <w:rsid w:val="008E63CC"/>
    <w:rsid w:val="008F061A"/>
    <w:rsid w:val="00900A00"/>
    <w:rsid w:val="009138D9"/>
    <w:rsid w:val="0092425E"/>
    <w:rsid w:val="00947304"/>
    <w:rsid w:val="00961307"/>
    <w:rsid w:val="00962A64"/>
    <w:rsid w:val="009A6092"/>
    <w:rsid w:val="009D17E9"/>
    <w:rsid w:val="009F4188"/>
    <w:rsid w:val="00A01BB7"/>
    <w:rsid w:val="00A133A8"/>
    <w:rsid w:val="00A14E6F"/>
    <w:rsid w:val="00A16373"/>
    <w:rsid w:val="00A35C63"/>
    <w:rsid w:val="00A510BB"/>
    <w:rsid w:val="00A5126A"/>
    <w:rsid w:val="00A51629"/>
    <w:rsid w:val="00A56DF0"/>
    <w:rsid w:val="00A601C7"/>
    <w:rsid w:val="00A60DA6"/>
    <w:rsid w:val="00A62087"/>
    <w:rsid w:val="00A63E0E"/>
    <w:rsid w:val="00A70976"/>
    <w:rsid w:val="00A80414"/>
    <w:rsid w:val="00A8695A"/>
    <w:rsid w:val="00A86DDA"/>
    <w:rsid w:val="00AA3230"/>
    <w:rsid w:val="00AA39FE"/>
    <w:rsid w:val="00AA5ACC"/>
    <w:rsid w:val="00AB6C90"/>
    <w:rsid w:val="00AD1871"/>
    <w:rsid w:val="00AF33FF"/>
    <w:rsid w:val="00B07F38"/>
    <w:rsid w:val="00B2246F"/>
    <w:rsid w:val="00B41937"/>
    <w:rsid w:val="00B43438"/>
    <w:rsid w:val="00B61DDE"/>
    <w:rsid w:val="00B663B0"/>
    <w:rsid w:val="00B93666"/>
    <w:rsid w:val="00B95ACB"/>
    <w:rsid w:val="00BA0CEE"/>
    <w:rsid w:val="00BB5A16"/>
    <w:rsid w:val="00BD0553"/>
    <w:rsid w:val="00BD4C3A"/>
    <w:rsid w:val="00C1749F"/>
    <w:rsid w:val="00C17BE5"/>
    <w:rsid w:val="00C22731"/>
    <w:rsid w:val="00C402D9"/>
    <w:rsid w:val="00C513C3"/>
    <w:rsid w:val="00C56ADA"/>
    <w:rsid w:val="00C61106"/>
    <w:rsid w:val="00C737B6"/>
    <w:rsid w:val="00C92092"/>
    <w:rsid w:val="00CB6D86"/>
    <w:rsid w:val="00CD2A08"/>
    <w:rsid w:val="00CD34AF"/>
    <w:rsid w:val="00CE5288"/>
    <w:rsid w:val="00D03DE7"/>
    <w:rsid w:val="00D04AC2"/>
    <w:rsid w:val="00D16867"/>
    <w:rsid w:val="00D44C18"/>
    <w:rsid w:val="00D5397F"/>
    <w:rsid w:val="00D616F5"/>
    <w:rsid w:val="00D6217F"/>
    <w:rsid w:val="00D64171"/>
    <w:rsid w:val="00D73359"/>
    <w:rsid w:val="00D747C7"/>
    <w:rsid w:val="00D960FB"/>
    <w:rsid w:val="00D96153"/>
    <w:rsid w:val="00D97D6E"/>
    <w:rsid w:val="00DC5A96"/>
    <w:rsid w:val="00DD7042"/>
    <w:rsid w:val="00DE487A"/>
    <w:rsid w:val="00E00D5F"/>
    <w:rsid w:val="00E30911"/>
    <w:rsid w:val="00E32059"/>
    <w:rsid w:val="00E50EEF"/>
    <w:rsid w:val="00E51871"/>
    <w:rsid w:val="00E90AB6"/>
    <w:rsid w:val="00EB4E8B"/>
    <w:rsid w:val="00EC2EEA"/>
    <w:rsid w:val="00EC459C"/>
    <w:rsid w:val="00EC46BB"/>
    <w:rsid w:val="00ED0B56"/>
    <w:rsid w:val="00EE46E2"/>
    <w:rsid w:val="00EE4A8A"/>
    <w:rsid w:val="00EE4F08"/>
    <w:rsid w:val="00EE6895"/>
    <w:rsid w:val="00EF7A25"/>
    <w:rsid w:val="00F23DA5"/>
    <w:rsid w:val="00F41CCE"/>
    <w:rsid w:val="00F50853"/>
    <w:rsid w:val="00F56A57"/>
    <w:rsid w:val="00F60F69"/>
    <w:rsid w:val="00F61859"/>
    <w:rsid w:val="00F84034"/>
    <w:rsid w:val="00F924F5"/>
    <w:rsid w:val="00FC173A"/>
    <w:rsid w:val="00FD7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B445F7"/>
  <w14:defaultImageDpi w14:val="0"/>
  <w15:docId w15:val="{5DA1F9A1-79AB-4D00-9626-3A902837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E5"/>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paragraph" w:styleId="1">
    <w:name w:val="heading 1"/>
    <w:basedOn w:val="a"/>
    <w:next w:val="a"/>
    <w:link w:val="10"/>
    <w:uiPriority w:val="9"/>
    <w:qFormat/>
    <w:rsid w:val="00283B02"/>
    <w:pPr>
      <w:keepNext/>
      <w:suppressAutoHyphens w:val="0"/>
      <w:kinsoku/>
      <w:wordWrap/>
      <w:overflowPunct/>
      <w:autoSpaceDE/>
      <w:autoSpaceDN/>
      <w:adjustRightInd/>
      <w:jc w:val="both"/>
      <w:textAlignment w:val="auto"/>
      <w:outlineLvl w:val="0"/>
    </w:pPr>
    <w:rPr>
      <w:rFonts w:ascii="游ゴシック Light" w:eastAsia="游ゴシック Light" w:hAnsi="游ゴシック Light" w:cs="ＭＳ Ｐゴシック"/>
      <w:kern w:val="2"/>
    </w:rPr>
  </w:style>
  <w:style w:type="paragraph" w:styleId="2">
    <w:name w:val="heading 2"/>
    <w:basedOn w:val="a"/>
    <w:next w:val="a"/>
    <w:link w:val="20"/>
    <w:uiPriority w:val="9"/>
    <w:unhideWhenUsed/>
    <w:qFormat/>
    <w:rsid w:val="00283B02"/>
    <w:pPr>
      <w:keepNext/>
      <w:suppressAutoHyphens w:val="0"/>
      <w:kinsoku/>
      <w:wordWrap/>
      <w:overflowPunct/>
      <w:autoSpaceDE/>
      <w:autoSpaceDN/>
      <w:adjustRightInd/>
      <w:jc w:val="both"/>
      <w:textAlignment w:val="auto"/>
      <w:outlineLvl w:val="1"/>
    </w:pPr>
    <w:rPr>
      <w:rFonts w:ascii="游ゴシック Light" w:eastAsia="游ゴシック Light" w:hAnsi="游ゴシック Light" w:cs="ＭＳ Ｐゴシック"/>
      <w:kern w:val="2"/>
      <w:szCs w:val="22"/>
    </w:rPr>
  </w:style>
  <w:style w:type="paragraph" w:styleId="3">
    <w:name w:val="heading 3"/>
    <w:basedOn w:val="a"/>
    <w:next w:val="a"/>
    <w:link w:val="30"/>
    <w:uiPriority w:val="9"/>
    <w:unhideWhenUsed/>
    <w:qFormat/>
    <w:rsid w:val="00283B02"/>
    <w:pPr>
      <w:keepNext/>
      <w:suppressAutoHyphens w:val="0"/>
      <w:kinsoku/>
      <w:wordWrap/>
      <w:overflowPunct/>
      <w:autoSpaceDE/>
      <w:autoSpaceDN/>
      <w:adjustRightInd/>
      <w:ind w:leftChars="400" w:left="400"/>
      <w:jc w:val="both"/>
      <w:textAlignment w:val="auto"/>
      <w:outlineLvl w:val="2"/>
    </w:pPr>
    <w:rPr>
      <w:rFonts w:ascii="游ゴシック Light" w:eastAsia="游ゴシック Light" w:hAnsi="游ゴシック Light" w:cs="ＭＳ Ｐゴシック"/>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character" w:customStyle="1" w:styleId="a4">
    <w:name w:val="脚注(標準)"/>
    <w:uiPriority w:val="99"/>
    <w:rPr>
      <w:sz w:val="24"/>
      <w:szCs w:val="24"/>
      <w:vertAlign w:val="superscript"/>
    </w:rPr>
  </w:style>
  <w:style w:type="character" w:customStyle="1" w:styleId="a5">
    <w:name w:val="脚注ｴﾘｱ(標準)"/>
    <w:uiPriority w:val="99"/>
  </w:style>
  <w:style w:type="paragraph" w:styleId="a6">
    <w:name w:val="Plain Text"/>
    <w:basedOn w:val="a"/>
    <w:link w:val="a7"/>
    <w:uiPriority w:val="99"/>
    <w:rsid w:val="00524C2D"/>
    <w:pPr>
      <w:suppressAutoHyphens w:val="0"/>
      <w:kinsoku/>
      <w:wordWrap/>
      <w:overflowPunct/>
      <w:autoSpaceDE/>
      <w:autoSpaceDN/>
      <w:adjustRightInd/>
      <w:jc w:val="both"/>
      <w:textAlignment w:val="auto"/>
    </w:pPr>
    <w:rPr>
      <w:rFonts w:ascii="ＭＳ 明朝" w:hAnsi="Courier New" w:cs="Courier New"/>
      <w:kern w:val="2"/>
      <w:szCs w:val="21"/>
    </w:rPr>
  </w:style>
  <w:style w:type="character" w:customStyle="1" w:styleId="a7">
    <w:name w:val="書式なし (文字)"/>
    <w:basedOn w:val="a0"/>
    <w:link w:val="a6"/>
    <w:uiPriority w:val="99"/>
    <w:rsid w:val="00524C2D"/>
    <w:rPr>
      <w:rFonts w:ascii="ＭＳ 明朝" w:hAnsi="Courier New" w:cs="Courier New"/>
      <w:sz w:val="24"/>
      <w:szCs w:val="21"/>
    </w:rPr>
  </w:style>
  <w:style w:type="character" w:customStyle="1" w:styleId="10">
    <w:name w:val="見出し 1 (文字)"/>
    <w:basedOn w:val="a0"/>
    <w:link w:val="1"/>
    <w:uiPriority w:val="9"/>
    <w:rsid w:val="00283B02"/>
    <w:rPr>
      <w:rFonts w:ascii="游ゴシック Light" w:eastAsia="游ゴシック Light" w:hAnsi="游ゴシック Light" w:cs="ＭＳ Ｐゴシック"/>
      <w:sz w:val="24"/>
      <w:szCs w:val="24"/>
    </w:rPr>
  </w:style>
  <w:style w:type="character" w:customStyle="1" w:styleId="20">
    <w:name w:val="見出し 2 (文字)"/>
    <w:basedOn w:val="a0"/>
    <w:link w:val="2"/>
    <w:uiPriority w:val="9"/>
    <w:rsid w:val="00283B02"/>
    <w:rPr>
      <w:rFonts w:ascii="游ゴシック Light" w:eastAsia="游ゴシック Light" w:hAnsi="游ゴシック Light" w:cs="ＭＳ Ｐゴシック"/>
      <w:sz w:val="24"/>
    </w:rPr>
  </w:style>
  <w:style w:type="character" w:customStyle="1" w:styleId="30">
    <w:name w:val="見出し 3 (文字)"/>
    <w:basedOn w:val="a0"/>
    <w:link w:val="3"/>
    <w:uiPriority w:val="9"/>
    <w:rsid w:val="00283B02"/>
    <w:rPr>
      <w:rFonts w:ascii="游ゴシック Light" w:eastAsia="游ゴシック Light" w:hAnsi="游ゴシック Light" w:cs="ＭＳ Ｐゴシック"/>
      <w:sz w:val="24"/>
    </w:rPr>
  </w:style>
  <w:style w:type="table" w:styleId="a8">
    <w:name w:val="Table Grid"/>
    <w:basedOn w:val="a1"/>
    <w:uiPriority w:val="39"/>
    <w:rsid w:val="00683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5F78EC"/>
    <w:pPr>
      <w:keepLines/>
      <w:widowControl/>
      <w:spacing w:before="24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11">
    <w:name w:val="toc 1"/>
    <w:basedOn w:val="a"/>
    <w:next w:val="a"/>
    <w:autoRedefine/>
    <w:uiPriority w:val="39"/>
    <w:unhideWhenUsed/>
    <w:rsid w:val="00EF7A25"/>
    <w:pPr>
      <w:tabs>
        <w:tab w:val="right" w:leader="dot" w:pos="9062"/>
      </w:tabs>
    </w:pPr>
    <w:rPr>
      <w:rFonts w:ascii="ＭＳ ゴシック" w:eastAsia="ＭＳ ゴシック" w:hAnsi="ＭＳ ゴシック"/>
      <w:noProof/>
    </w:rPr>
  </w:style>
  <w:style w:type="paragraph" w:styleId="21">
    <w:name w:val="toc 2"/>
    <w:basedOn w:val="a"/>
    <w:next w:val="a"/>
    <w:autoRedefine/>
    <w:uiPriority w:val="39"/>
    <w:unhideWhenUsed/>
    <w:rsid w:val="00EF7A25"/>
    <w:pPr>
      <w:tabs>
        <w:tab w:val="right" w:leader="dot" w:pos="9062"/>
      </w:tabs>
      <w:ind w:leftChars="100" w:left="566" w:hangingChars="132" w:hanging="322"/>
    </w:pPr>
  </w:style>
  <w:style w:type="character" w:styleId="aa">
    <w:name w:val="Hyperlink"/>
    <w:basedOn w:val="a0"/>
    <w:uiPriority w:val="99"/>
    <w:unhideWhenUsed/>
    <w:rsid w:val="005F78EC"/>
    <w:rPr>
      <w:color w:val="0563C1" w:themeColor="hyperlink"/>
      <w:u w:val="single"/>
    </w:rPr>
  </w:style>
  <w:style w:type="paragraph" w:styleId="31">
    <w:name w:val="toc 3"/>
    <w:basedOn w:val="a"/>
    <w:next w:val="a"/>
    <w:autoRedefine/>
    <w:uiPriority w:val="39"/>
    <w:unhideWhenUsed/>
    <w:rsid w:val="00B43438"/>
    <w:pPr>
      <w:tabs>
        <w:tab w:val="right" w:leader="dot" w:pos="9062"/>
      </w:tabs>
      <w:ind w:leftChars="231" w:left="564" w:firstLin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1701">
      <w:bodyDiv w:val="1"/>
      <w:marLeft w:val="0"/>
      <w:marRight w:val="0"/>
      <w:marTop w:val="0"/>
      <w:marBottom w:val="0"/>
      <w:divBdr>
        <w:top w:val="none" w:sz="0" w:space="0" w:color="auto"/>
        <w:left w:val="none" w:sz="0" w:space="0" w:color="auto"/>
        <w:bottom w:val="none" w:sz="0" w:space="0" w:color="auto"/>
        <w:right w:val="none" w:sz="0" w:space="0" w:color="auto"/>
      </w:divBdr>
    </w:div>
    <w:div w:id="8804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24E2A-C731-4EBC-8350-2AC4C2E0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6</Pages>
  <Words>4333</Words>
  <Characters>77</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Jinen Kita</dc:creator>
  <cp:keywords/>
  <dc:description/>
  <cp:lastModifiedBy>充 白</cp:lastModifiedBy>
  <cp:revision>18</cp:revision>
  <cp:lastPrinted>2022-08-31T02:06:00Z</cp:lastPrinted>
  <dcterms:created xsi:type="dcterms:W3CDTF">2022-08-26T00:31:00Z</dcterms:created>
  <dcterms:modified xsi:type="dcterms:W3CDTF">2023-04-27T03:24:00Z</dcterms:modified>
</cp:coreProperties>
</file>