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FB12" w14:textId="77777777" w:rsidR="000F6D41" w:rsidRPr="00C35F0F" w:rsidRDefault="000F6D41" w:rsidP="000F6D41">
      <w:r>
        <w:rPr>
          <w:rFonts w:hint="eastAsia"/>
        </w:rPr>
        <w:t>令和４年</w:t>
      </w:r>
      <w:r w:rsidRPr="00C35F0F">
        <w:rPr>
          <w:rFonts w:hint="eastAsia"/>
        </w:rPr>
        <w:t>（行ウ）第</w:t>
      </w:r>
      <w:r>
        <w:rPr>
          <w:rFonts w:hint="eastAsia"/>
        </w:rPr>
        <w:t>１８</w:t>
      </w:r>
      <w:r w:rsidRPr="00C35F0F">
        <w:rPr>
          <w:rFonts w:hint="eastAsia"/>
        </w:rPr>
        <w:t xml:space="preserve">号　</w:t>
      </w:r>
      <w:r w:rsidRPr="00A71461">
        <w:rPr>
          <w:rFonts w:hint="eastAsia"/>
        </w:rPr>
        <w:t>埋立地用途変更・設計概要変更不承認処分に対し国土交通大臣がなした裁決の取消請求事件</w:t>
      </w:r>
    </w:p>
    <w:p w14:paraId="2236EB09" w14:textId="77777777" w:rsidR="000F6D41" w:rsidRPr="00C35F0F" w:rsidRDefault="000F6D41" w:rsidP="000F6D41">
      <w:r w:rsidRPr="00C35F0F">
        <w:rPr>
          <w:rFonts w:hint="eastAsia"/>
        </w:rPr>
        <w:t>原告　東恩納琢磨　ほか１</w:t>
      </w:r>
      <w:r>
        <w:rPr>
          <w:rFonts w:hint="eastAsia"/>
        </w:rPr>
        <w:t>７</w:t>
      </w:r>
      <w:r w:rsidRPr="00C35F0F">
        <w:rPr>
          <w:rFonts w:hint="eastAsia"/>
        </w:rPr>
        <w:t>名</w:t>
      </w:r>
    </w:p>
    <w:p w14:paraId="2FE377BC" w14:textId="77777777" w:rsidR="000F6D41" w:rsidRPr="00C35F0F" w:rsidRDefault="000F6D41" w:rsidP="000F6D41">
      <w:r w:rsidRPr="00C35F0F">
        <w:rPr>
          <w:rFonts w:hint="eastAsia"/>
        </w:rPr>
        <w:t>被告　国（処分行政庁　国土交通大臣）</w:t>
      </w:r>
    </w:p>
    <w:p w14:paraId="46EF41DE" w14:textId="77777777" w:rsidR="000F6D41" w:rsidRDefault="000F6D41" w:rsidP="000F6D41">
      <w:pPr>
        <w:rPr>
          <w:sz w:val="24"/>
        </w:rPr>
      </w:pPr>
    </w:p>
    <w:p w14:paraId="1D3FB9AC" w14:textId="74F86A0C" w:rsidR="000F6D41" w:rsidRPr="000F6D41" w:rsidRDefault="000F6D41" w:rsidP="000F6D41">
      <w:pPr>
        <w:jc w:val="center"/>
        <w:rPr>
          <w:w w:val="200"/>
          <w:sz w:val="24"/>
        </w:rPr>
      </w:pPr>
      <w:r w:rsidRPr="000F6D41">
        <w:rPr>
          <w:rFonts w:hint="eastAsia"/>
          <w:w w:val="200"/>
          <w:sz w:val="24"/>
        </w:rPr>
        <w:t>第２準備書面</w:t>
      </w:r>
    </w:p>
    <w:p w14:paraId="288A2C4E" w14:textId="37B70BE3" w:rsidR="000F6D41" w:rsidRDefault="000F6D41" w:rsidP="000F6D41">
      <w:pPr>
        <w:jc w:val="center"/>
        <w:rPr>
          <w:sz w:val="24"/>
        </w:rPr>
      </w:pPr>
      <w:r>
        <w:rPr>
          <w:rFonts w:hint="eastAsia"/>
          <w:sz w:val="24"/>
        </w:rPr>
        <w:t>（原告適格に関する最新の最高裁判例について）</w:t>
      </w:r>
    </w:p>
    <w:p w14:paraId="53C8C893" w14:textId="77777777" w:rsidR="000F6D41" w:rsidRDefault="000F6D41" w:rsidP="000F6D41">
      <w:pPr>
        <w:rPr>
          <w:sz w:val="24"/>
        </w:rPr>
      </w:pPr>
    </w:p>
    <w:p w14:paraId="0D737BD0" w14:textId="590A9252" w:rsidR="000F6D41" w:rsidRPr="000F6D41" w:rsidRDefault="000F6D41" w:rsidP="000F6D41">
      <w:pPr>
        <w:jc w:val="right"/>
        <w:rPr>
          <w:sz w:val="24"/>
        </w:rPr>
      </w:pPr>
      <w:r w:rsidRPr="000F6D41">
        <w:rPr>
          <w:rFonts w:hint="eastAsia"/>
          <w:sz w:val="24"/>
        </w:rPr>
        <w:t>２０２</w:t>
      </w:r>
      <w:r>
        <w:rPr>
          <w:rFonts w:hint="eastAsia"/>
          <w:sz w:val="24"/>
        </w:rPr>
        <w:t>３</w:t>
      </w:r>
      <w:r w:rsidRPr="000F6D41">
        <w:rPr>
          <w:rFonts w:hint="eastAsia"/>
          <w:sz w:val="24"/>
        </w:rPr>
        <w:t>（令和</w:t>
      </w:r>
      <w:r>
        <w:rPr>
          <w:rFonts w:hint="eastAsia"/>
          <w:sz w:val="24"/>
        </w:rPr>
        <w:t>５</w:t>
      </w:r>
      <w:r w:rsidRPr="000F6D41">
        <w:rPr>
          <w:rFonts w:hint="eastAsia"/>
          <w:sz w:val="24"/>
        </w:rPr>
        <w:t>）年</w:t>
      </w:r>
      <w:r>
        <w:rPr>
          <w:rFonts w:hint="eastAsia"/>
          <w:sz w:val="24"/>
        </w:rPr>
        <w:t>６</w:t>
      </w:r>
      <w:r w:rsidRPr="000F6D41">
        <w:rPr>
          <w:rFonts w:hint="eastAsia"/>
          <w:sz w:val="24"/>
        </w:rPr>
        <w:t>月</w:t>
      </w:r>
      <w:r>
        <w:rPr>
          <w:rFonts w:hint="eastAsia"/>
          <w:sz w:val="24"/>
        </w:rPr>
        <w:t>５</w:t>
      </w:r>
      <w:r w:rsidRPr="000F6D41">
        <w:rPr>
          <w:rFonts w:hint="eastAsia"/>
          <w:sz w:val="24"/>
        </w:rPr>
        <w:t>日</w:t>
      </w:r>
    </w:p>
    <w:p w14:paraId="73B62BE3" w14:textId="77777777" w:rsidR="000F6D41" w:rsidRDefault="000F6D41" w:rsidP="000F6D41">
      <w:pPr>
        <w:jc w:val="left"/>
        <w:rPr>
          <w:sz w:val="24"/>
        </w:rPr>
      </w:pPr>
    </w:p>
    <w:p w14:paraId="2261A172" w14:textId="7E16AA56" w:rsidR="000F6D41" w:rsidRPr="000F6D41" w:rsidRDefault="000F6D41" w:rsidP="000F6D41">
      <w:pPr>
        <w:jc w:val="left"/>
        <w:rPr>
          <w:sz w:val="24"/>
        </w:rPr>
      </w:pPr>
      <w:bookmarkStart w:id="0" w:name="_Hlk136612342"/>
      <w:r w:rsidRPr="000F6D41">
        <w:rPr>
          <w:rFonts w:hint="eastAsia"/>
          <w:sz w:val="24"/>
        </w:rPr>
        <w:t>那覇地方裁判所</w:t>
      </w:r>
      <w:r>
        <w:rPr>
          <w:rFonts w:hint="eastAsia"/>
          <w:sz w:val="24"/>
        </w:rPr>
        <w:t>民事第２部</w:t>
      </w:r>
      <w:r w:rsidR="00CC7BC4">
        <w:rPr>
          <w:rFonts w:hint="eastAsia"/>
          <w:sz w:val="24"/>
        </w:rPr>
        <w:t>合議Ａ係</w:t>
      </w:r>
      <w:r w:rsidRPr="000F6D41">
        <w:rPr>
          <w:rFonts w:hint="eastAsia"/>
          <w:sz w:val="24"/>
        </w:rPr>
        <w:t xml:space="preserve">　御中</w:t>
      </w:r>
    </w:p>
    <w:bookmarkEnd w:id="0"/>
    <w:p w14:paraId="63C49B6B" w14:textId="77777777" w:rsidR="000F6D41" w:rsidRDefault="000F6D41" w:rsidP="000F6D41">
      <w:pPr>
        <w:jc w:val="left"/>
        <w:rPr>
          <w:sz w:val="24"/>
        </w:rPr>
      </w:pPr>
    </w:p>
    <w:p w14:paraId="167B65D0" w14:textId="2EBEAB76" w:rsidR="000F6D41" w:rsidRPr="000F6D41" w:rsidRDefault="000F6D41" w:rsidP="000F6D41">
      <w:pPr>
        <w:jc w:val="left"/>
        <w:rPr>
          <w:sz w:val="24"/>
        </w:rPr>
      </w:pPr>
      <w:r w:rsidRPr="000F6D41">
        <w:rPr>
          <w:rFonts w:hint="eastAsia"/>
          <w:sz w:val="24"/>
        </w:rPr>
        <w:t xml:space="preserve">　　　　　　　　　　　　　　　　　原告ら訴訟代理人</w:t>
      </w:r>
    </w:p>
    <w:p w14:paraId="16FD9669" w14:textId="77777777" w:rsidR="000F6D41" w:rsidRPr="000F6D41" w:rsidRDefault="000F6D41" w:rsidP="000F6D41">
      <w:pPr>
        <w:jc w:val="right"/>
        <w:rPr>
          <w:sz w:val="24"/>
        </w:rPr>
      </w:pPr>
      <w:r w:rsidRPr="000F6D41">
        <w:rPr>
          <w:rFonts w:hint="eastAsia"/>
          <w:sz w:val="24"/>
        </w:rPr>
        <w:t>弁護士　池宮城　紀　夫</w:t>
      </w:r>
    </w:p>
    <w:p w14:paraId="197FF651" w14:textId="77777777" w:rsidR="000F6D41" w:rsidRPr="000F6D41" w:rsidRDefault="000F6D41" w:rsidP="000F6D41">
      <w:pPr>
        <w:jc w:val="right"/>
        <w:rPr>
          <w:sz w:val="24"/>
        </w:rPr>
      </w:pPr>
      <w:r w:rsidRPr="000F6D41">
        <w:rPr>
          <w:rFonts w:hint="eastAsia"/>
          <w:sz w:val="24"/>
        </w:rPr>
        <w:t>弁護士　中　村　照　美</w:t>
      </w:r>
    </w:p>
    <w:p w14:paraId="5D192F6E" w14:textId="77777777" w:rsidR="000F6D41" w:rsidRPr="000F6D41" w:rsidRDefault="000F6D41" w:rsidP="000F6D41">
      <w:pPr>
        <w:jc w:val="right"/>
        <w:rPr>
          <w:sz w:val="24"/>
        </w:rPr>
      </w:pPr>
      <w:r w:rsidRPr="000F6D41">
        <w:rPr>
          <w:rFonts w:hint="eastAsia"/>
          <w:sz w:val="24"/>
        </w:rPr>
        <w:t>弁護士　阿波根　昌　秀</w:t>
      </w:r>
    </w:p>
    <w:p w14:paraId="2A3D7D08" w14:textId="77777777" w:rsidR="000F6D41" w:rsidRPr="000F6D41" w:rsidRDefault="000F6D41" w:rsidP="000F6D41">
      <w:pPr>
        <w:jc w:val="right"/>
        <w:rPr>
          <w:sz w:val="24"/>
        </w:rPr>
      </w:pPr>
      <w:r w:rsidRPr="000F6D41">
        <w:rPr>
          <w:rFonts w:hint="eastAsia"/>
          <w:sz w:val="24"/>
        </w:rPr>
        <w:t>弁護士　新　垣　　　勉</w:t>
      </w:r>
    </w:p>
    <w:p w14:paraId="13F26F3B" w14:textId="77777777" w:rsidR="000F6D41" w:rsidRPr="000F6D41" w:rsidRDefault="000F6D41" w:rsidP="000F6D41">
      <w:pPr>
        <w:jc w:val="right"/>
        <w:rPr>
          <w:sz w:val="24"/>
        </w:rPr>
      </w:pPr>
      <w:r w:rsidRPr="000F6D41">
        <w:rPr>
          <w:rFonts w:hint="eastAsia"/>
          <w:sz w:val="24"/>
        </w:rPr>
        <w:t>弁護士　永　吉　盛　元</w:t>
      </w:r>
    </w:p>
    <w:p w14:paraId="56A1DD4F" w14:textId="77777777" w:rsidR="000F6D41" w:rsidRPr="000F6D41" w:rsidRDefault="000F6D41" w:rsidP="000F6D41">
      <w:pPr>
        <w:jc w:val="right"/>
        <w:rPr>
          <w:sz w:val="24"/>
        </w:rPr>
      </w:pPr>
      <w:r w:rsidRPr="000F6D41">
        <w:rPr>
          <w:rFonts w:hint="eastAsia"/>
          <w:sz w:val="24"/>
        </w:rPr>
        <w:t>弁護士　仲　山　忠　克</w:t>
      </w:r>
    </w:p>
    <w:p w14:paraId="1AB4065B" w14:textId="77777777" w:rsidR="000F6D41" w:rsidRPr="000F6D41" w:rsidRDefault="000F6D41" w:rsidP="000F6D41">
      <w:pPr>
        <w:jc w:val="right"/>
        <w:rPr>
          <w:sz w:val="24"/>
        </w:rPr>
      </w:pPr>
      <w:r w:rsidRPr="000F6D41">
        <w:rPr>
          <w:rFonts w:hint="eastAsia"/>
          <w:sz w:val="24"/>
        </w:rPr>
        <w:t>弁護士　大　田　朝　章</w:t>
      </w:r>
    </w:p>
    <w:p w14:paraId="07647EB2" w14:textId="77777777" w:rsidR="000F6D41" w:rsidRPr="000F6D41" w:rsidRDefault="000F6D41" w:rsidP="000F6D41">
      <w:pPr>
        <w:jc w:val="right"/>
        <w:rPr>
          <w:sz w:val="24"/>
        </w:rPr>
      </w:pPr>
      <w:r w:rsidRPr="000F6D41">
        <w:rPr>
          <w:rFonts w:hint="eastAsia"/>
          <w:sz w:val="24"/>
        </w:rPr>
        <w:t>弁護士　三　宅　俊　司</w:t>
      </w:r>
    </w:p>
    <w:p w14:paraId="355D1788" w14:textId="77777777" w:rsidR="000F6D41" w:rsidRPr="000F6D41" w:rsidRDefault="000F6D41" w:rsidP="000F6D41">
      <w:pPr>
        <w:jc w:val="right"/>
        <w:rPr>
          <w:sz w:val="24"/>
        </w:rPr>
      </w:pPr>
      <w:r w:rsidRPr="000F6D41">
        <w:rPr>
          <w:rFonts w:hint="eastAsia"/>
          <w:sz w:val="24"/>
        </w:rPr>
        <w:t>弁護士　高　木　吉　朗</w:t>
      </w:r>
    </w:p>
    <w:p w14:paraId="4F5C7DF8" w14:textId="77777777" w:rsidR="000F6D41" w:rsidRPr="000F6D41" w:rsidRDefault="000F6D41" w:rsidP="000F6D41">
      <w:pPr>
        <w:jc w:val="right"/>
        <w:rPr>
          <w:sz w:val="24"/>
        </w:rPr>
      </w:pPr>
      <w:r w:rsidRPr="000F6D41">
        <w:rPr>
          <w:rFonts w:hint="eastAsia"/>
          <w:sz w:val="24"/>
        </w:rPr>
        <w:t>弁護士　儀　部　和歌子</w:t>
      </w:r>
    </w:p>
    <w:p w14:paraId="2A596A76" w14:textId="77777777" w:rsidR="000F6D41" w:rsidRPr="000F6D41" w:rsidRDefault="000F6D41" w:rsidP="000F6D41">
      <w:pPr>
        <w:jc w:val="right"/>
        <w:rPr>
          <w:sz w:val="24"/>
        </w:rPr>
      </w:pPr>
      <w:r w:rsidRPr="000F6D41">
        <w:rPr>
          <w:rFonts w:hint="eastAsia"/>
          <w:sz w:val="24"/>
        </w:rPr>
        <w:t>弁護士　横　田　　　達</w:t>
      </w:r>
    </w:p>
    <w:p w14:paraId="435602C4" w14:textId="77777777" w:rsidR="000F6D41" w:rsidRPr="000F6D41" w:rsidRDefault="000F6D41" w:rsidP="000F6D41">
      <w:pPr>
        <w:jc w:val="right"/>
        <w:rPr>
          <w:sz w:val="24"/>
        </w:rPr>
      </w:pPr>
      <w:r w:rsidRPr="000F6D41">
        <w:rPr>
          <w:rFonts w:hint="eastAsia"/>
          <w:sz w:val="24"/>
        </w:rPr>
        <w:t>弁護士　金　高　　　望</w:t>
      </w:r>
    </w:p>
    <w:p w14:paraId="55B4E122" w14:textId="77777777" w:rsidR="000F6D41" w:rsidRPr="000F6D41" w:rsidRDefault="000F6D41" w:rsidP="000F6D41">
      <w:pPr>
        <w:jc w:val="right"/>
        <w:rPr>
          <w:sz w:val="24"/>
        </w:rPr>
      </w:pPr>
      <w:r w:rsidRPr="000F6D41">
        <w:rPr>
          <w:rFonts w:hint="eastAsia"/>
          <w:sz w:val="24"/>
        </w:rPr>
        <w:t>弁護士　中　村　昌　樹</w:t>
      </w:r>
    </w:p>
    <w:p w14:paraId="172DBD94" w14:textId="77777777" w:rsidR="000F6D41" w:rsidRPr="000F6D41" w:rsidRDefault="000F6D41" w:rsidP="000F6D41">
      <w:pPr>
        <w:jc w:val="right"/>
        <w:rPr>
          <w:sz w:val="24"/>
        </w:rPr>
      </w:pPr>
      <w:r w:rsidRPr="000F6D41">
        <w:rPr>
          <w:rFonts w:hint="eastAsia"/>
          <w:sz w:val="24"/>
        </w:rPr>
        <w:lastRenderedPageBreak/>
        <w:t>弁護士　林　　　千賀子</w:t>
      </w:r>
    </w:p>
    <w:p w14:paraId="50CEA3A4" w14:textId="77777777" w:rsidR="000F6D41" w:rsidRPr="000F6D41" w:rsidRDefault="000F6D41" w:rsidP="000F6D41">
      <w:pPr>
        <w:jc w:val="right"/>
        <w:rPr>
          <w:sz w:val="24"/>
        </w:rPr>
      </w:pPr>
      <w:r w:rsidRPr="000F6D41">
        <w:rPr>
          <w:rFonts w:hint="eastAsia"/>
          <w:sz w:val="24"/>
        </w:rPr>
        <w:t>弁護士　上　原　智　子</w:t>
      </w:r>
    </w:p>
    <w:p w14:paraId="2268B25B" w14:textId="77777777" w:rsidR="000F6D41" w:rsidRPr="000F6D41" w:rsidRDefault="000F6D41" w:rsidP="000F6D41">
      <w:pPr>
        <w:jc w:val="right"/>
        <w:rPr>
          <w:sz w:val="24"/>
        </w:rPr>
      </w:pPr>
      <w:r w:rsidRPr="000F6D41">
        <w:rPr>
          <w:rFonts w:hint="eastAsia"/>
          <w:sz w:val="24"/>
        </w:rPr>
        <w:t>弁護士　松　崎　暁　史</w:t>
      </w:r>
    </w:p>
    <w:p w14:paraId="258F167E" w14:textId="77777777" w:rsidR="000F6D41" w:rsidRPr="000F6D41" w:rsidRDefault="000F6D41" w:rsidP="000F6D41">
      <w:pPr>
        <w:jc w:val="right"/>
        <w:rPr>
          <w:sz w:val="24"/>
        </w:rPr>
      </w:pPr>
      <w:r w:rsidRPr="000F6D41">
        <w:rPr>
          <w:rFonts w:hint="eastAsia"/>
          <w:sz w:val="24"/>
        </w:rPr>
        <w:t>弁護士　伊志嶺　公　一</w:t>
      </w:r>
    </w:p>
    <w:p w14:paraId="7D5E938C" w14:textId="77777777" w:rsidR="000F6D41" w:rsidRPr="000F6D41" w:rsidRDefault="000F6D41" w:rsidP="000F6D41">
      <w:pPr>
        <w:jc w:val="right"/>
        <w:rPr>
          <w:sz w:val="24"/>
        </w:rPr>
      </w:pPr>
      <w:r w:rsidRPr="000F6D41">
        <w:rPr>
          <w:rFonts w:hint="eastAsia"/>
          <w:sz w:val="24"/>
        </w:rPr>
        <w:t>弁護士　高　良　　　誠</w:t>
      </w:r>
    </w:p>
    <w:p w14:paraId="304F4F68" w14:textId="77777777" w:rsidR="000F6D41" w:rsidRPr="000F6D41" w:rsidRDefault="000F6D41" w:rsidP="000F6D41">
      <w:pPr>
        <w:jc w:val="right"/>
        <w:rPr>
          <w:sz w:val="24"/>
        </w:rPr>
      </w:pPr>
      <w:r w:rsidRPr="000F6D41">
        <w:rPr>
          <w:rFonts w:hint="eastAsia"/>
          <w:sz w:val="24"/>
        </w:rPr>
        <w:t>弁護士　山　城　　　圭</w:t>
      </w:r>
    </w:p>
    <w:p w14:paraId="6DA611D5" w14:textId="77777777" w:rsidR="000F6D41" w:rsidRPr="000F6D41" w:rsidRDefault="000F6D41" w:rsidP="000F6D41">
      <w:pPr>
        <w:jc w:val="right"/>
        <w:rPr>
          <w:sz w:val="24"/>
        </w:rPr>
      </w:pPr>
      <w:r w:rsidRPr="000F6D41">
        <w:rPr>
          <w:rFonts w:hint="eastAsia"/>
          <w:sz w:val="24"/>
        </w:rPr>
        <w:t>弁護士　安　里　　　学</w:t>
      </w:r>
    </w:p>
    <w:p w14:paraId="17071C68" w14:textId="77777777" w:rsidR="000F6D41" w:rsidRPr="000F6D41" w:rsidRDefault="000F6D41" w:rsidP="000F6D41">
      <w:pPr>
        <w:jc w:val="right"/>
        <w:rPr>
          <w:sz w:val="24"/>
        </w:rPr>
      </w:pPr>
      <w:r w:rsidRPr="000F6D41">
        <w:rPr>
          <w:rFonts w:hint="eastAsia"/>
          <w:sz w:val="24"/>
        </w:rPr>
        <w:t>弁護士　齋　藤　祐　介</w:t>
      </w:r>
    </w:p>
    <w:p w14:paraId="06D9775C" w14:textId="77777777" w:rsidR="000F6D41" w:rsidRPr="000F6D41" w:rsidRDefault="000F6D41" w:rsidP="000F6D41">
      <w:pPr>
        <w:jc w:val="right"/>
        <w:rPr>
          <w:sz w:val="24"/>
        </w:rPr>
      </w:pPr>
      <w:r w:rsidRPr="000F6D41">
        <w:rPr>
          <w:rFonts w:hint="eastAsia"/>
          <w:sz w:val="24"/>
        </w:rPr>
        <w:t>弁護士　日　高　洋一郎</w:t>
      </w:r>
    </w:p>
    <w:p w14:paraId="5FC4B307" w14:textId="77777777" w:rsidR="000F6D41" w:rsidRPr="000F6D41" w:rsidRDefault="000F6D41" w:rsidP="000F6D41">
      <w:pPr>
        <w:jc w:val="right"/>
        <w:rPr>
          <w:sz w:val="24"/>
        </w:rPr>
      </w:pPr>
      <w:r w:rsidRPr="000F6D41">
        <w:rPr>
          <w:rFonts w:hint="eastAsia"/>
          <w:sz w:val="24"/>
        </w:rPr>
        <w:t>弁護士　松　本　啓　太</w:t>
      </w:r>
    </w:p>
    <w:p w14:paraId="1814ECA3" w14:textId="77777777" w:rsidR="000F6D41" w:rsidRPr="000F6D41" w:rsidRDefault="000F6D41" w:rsidP="000F6D41">
      <w:pPr>
        <w:jc w:val="right"/>
        <w:rPr>
          <w:sz w:val="24"/>
        </w:rPr>
      </w:pPr>
      <w:r w:rsidRPr="000F6D41">
        <w:rPr>
          <w:rFonts w:hint="eastAsia"/>
          <w:sz w:val="24"/>
        </w:rPr>
        <w:t>弁護士　喜　多　自　然</w:t>
      </w:r>
    </w:p>
    <w:p w14:paraId="75C6DB90" w14:textId="77777777" w:rsidR="000F6D41" w:rsidRPr="000F6D41" w:rsidRDefault="000F6D41" w:rsidP="000F6D41">
      <w:pPr>
        <w:jc w:val="right"/>
        <w:rPr>
          <w:sz w:val="24"/>
        </w:rPr>
      </w:pPr>
      <w:r w:rsidRPr="000F6D41">
        <w:rPr>
          <w:rFonts w:hint="eastAsia"/>
          <w:sz w:val="24"/>
        </w:rPr>
        <w:t>弁護士　城　間　　　博</w:t>
      </w:r>
    </w:p>
    <w:p w14:paraId="68E225E9" w14:textId="77777777" w:rsidR="000F6D41" w:rsidRPr="000F6D41" w:rsidRDefault="000F6D41" w:rsidP="000F6D41">
      <w:pPr>
        <w:jc w:val="right"/>
        <w:rPr>
          <w:sz w:val="24"/>
        </w:rPr>
      </w:pPr>
      <w:r w:rsidRPr="000F6D41">
        <w:rPr>
          <w:rFonts w:hint="eastAsia"/>
          <w:sz w:val="24"/>
        </w:rPr>
        <w:t>弁護士　赤　嶺　朝　子</w:t>
      </w:r>
    </w:p>
    <w:p w14:paraId="46D54C90" w14:textId="77777777" w:rsidR="000F6D41" w:rsidRPr="000F6D41" w:rsidRDefault="000F6D41" w:rsidP="000F6D41">
      <w:pPr>
        <w:jc w:val="right"/>
        <w:rPr>
          <w:sz w:val="24"/>
        </w:rPr>
      </w:pPr>
      <w:r w:rsidRPr="000F6D41">
        <w:rPr>
          <w:rFonts w:hint="eastAsia"/>
          <w:sz w:val="24"/>
        </w:rPr>
        <w:t>弁護士　松　本　徹　意</w:t>
      </w:r>
    </w:p>
    <w:p w14:paraId="7FE6FFE2" w14:textId="77777777" w:rsidR="000F6D41" w:rsidRPr="000F6D41" w:rsidRDefault="000F6D41" w:rsidP="000F6D41">
      <w:pPr>
        <w:jc w:val="right"/>
        <w:rPr>
          <w:sz w:val="24"/>
        </w:rPr>
      </w:pPr>
      <w:r w:rsidRPr="000F6D41">
        <w:rPr>
          <w:rFonts w:hint="eastAsia"/>
          <w:sz w:val="24"/>
        </w:rPr>
        <w:t>弁護士　高　塚　千恵子</w:t>
      </w:r>
    </w:p>
    <w:p w14:paraId="5BF37D8E" w14:textId="77777777" w:rsidR="000F6D41" w:rsidRPr="000F6D41" w:rsidRDefault="000F6D41" w:rsidP="000F6D41">
      <w:pPr>
        <w:jc w:val="right"/>
        <w:rPr>
          <w:sz w:val="24"/>
        </w:rPr>
      </w:pPr>
      <w:r w:rsidRPr="000F6D41">
        <w:rPr>
          <w:rFonts w:hint="eastAsia"/>
          <w:sz w:val="24"/>
        </w:rPr>
        <w:t>弁護士　白　　　　　充</w:t>
      </w:r>
    </w:p>
    <w:p w14:paraId="2724A58D" w14:textId="77777777" w:rsidR="000F6D41" w:rsidRPr="000F6D41" w:rsidRDefault="000F6D41" w:rsidP="000F6D41">
      <w:pPr>
        <w:jc w:val="right"/>
        <w:rPr>
          <w:sz w:val="24"/>
        </w:rPr>
      </w:pPr>
      <w:r w:rsidRPr="000F6D41">
        <w:rPr>
          <w:rFonts w:hint="eastAsia"/>
          <w:sz w:val="24"/>
        </w:rPr>
        <w:t>弁護士　儀　保　　　唯</w:t>
      </w:r>
    </w:p>
    <w:p w14:paraId="43EFDA74" w14:textId="77777777" w:rsidR="000F6D41" w:rsidRPr="000F6D41" w:rsidRDefault="000F6D41" w:rsidP="000F6D41">
      <w:pPr>
        <w:jc w:val="right"/>
        <w:rPr>
          <w:sz w:val="24"/>
        </w:rPr>
      </w:pPr>
      <w:r w:rsidRPr="000F6D41">
        <w:rPr>
          <w:rFonts w:hint="eastAsia"/>
          <w:sz w:val="24"/>
        </w:rPr>
        <w:t>弁護士　川　津　知　大</w:t>
      </w:r>
    </w:p>
    <w:p w14:paraId="639C71E0" w14:textId="77777777" w:rsidR="000F6D41" w:rsidRPr="000F6D41" w:rsidRDefault="000F6D41" w:rsidP="000F6D41">
      <w:pPr>
        <w:jc w:val="right"/>
        <w:rPr>
          <w:sz w:val="24"/>
        </w:rPr>
      </w:pPr>
      <w:r w:rsidRPr="000F6D41">
        <w:rPr>
          <w:rFonts w:hint="eastAsia"/>
          <w:sz w:val="24"/>
        </w:rPr>
        <w:t>弁護士　島　袋　　　元</w:t>
      </w:r>
    </w:p>
    <w:p w14:paraId="03C98122" w14:textId="77777777" w:rsidR="000F6D41" w:rsidRPr="000F6D41" w:rsidRDefault="000F6D41" w:rsidP="000F6D41">
      <w:pPr>
        <w:jc w:val="right"/>
        <w:rPr>
          <w:sz w:val="24"/>
        </w:rPr>
      </w:pPr>
      <w:r w:rsidRPr="000F6D41">
        <w:rPr>
          <w:rFonts w:hint="eastAsia"/>
          <w:sz w:val="24"/>
        </w:rPr>
        <w:t>弁護士　我　妻　　　潤</w:t>
      </w:r>
    </w:p>
    <w:p w14:paraId="646BB843" w14:textId="77777777" w:rsidR="000F6D41" w:rsidRPr="000F6D41" w:rsidRDefault="000F6D41" w:rsidP="000F6D41">
      <w:pPr>
        <w:jc w:val="right"/>
        <w:rPr>
          <w:sz w:val="24"/>
        </w:rPr>
      </w:pPr>
      <w:r w:rsidRPr="000F6D41">
        <w:rPr>
          <w:rFonts w:hint="eastAsia"/>
          <w:sz w:val="24"/>
        </w:rPr>
        <w:t>弁護士　池　味　エリカ</w:t>
      </w:r>
    </w:p>
    <w:p w14:paraId="611C1B06" w14:textId="1388C40D" w:rsidR="000F6D41" w:rsidRPr="000F6D41" w:rsidRDefault="000F6D41" w:rsidP="000F6D41">
      <w:pPr>
        <w:jc w:val="right"/>
        <w:rPr>
          <w:sz w:val="24"/>
        </w:rPr>
      </w:pPr>
      <w:r w:rsidRPr="000F6D41">
        <w:rPr>
          <w:rFonts w:hint="eastAsia"/>
          <w:sz w:val="24"/>
        </w:rPr>
        <w:t>弁護士　真栄里　嘉　邦</w:t>
      </w:r>
    </w:p>
    <w:p w14:paraId="21D0D359" w14:textId="77777777" w:rsidR="000F6D41" w:rsidRDefault="000F6D41" w:rsidP="00DE6BF4">
      <w:pPr>
        <w:jc w:val="left"/>
        <w:rPr>
          <w:sz w:val="24"/>
        </w:rPr>
      </w:pPr>
    </w:p>
    <w:p w14:paraId="77AAFBBF" w14:textId="77777777" w:rsidR="000F6D41" w:rsidRDefault="000F6D41" w:rsidP="00DE6BF4">
      <w:pPr>
        <w:jc w:val="left"/>
        <w:rPr>
          <w:sz w:val="24"/>
        </w:rPr>
      </w:pPr>
    </w:p>
    <w:p w14:paraId="1AFA5929" w14:textId="77777777" w:rsidR="000F6D41" w:rsidRDefault="000F6D41" w:rsidP="00DE6BF4">
      <w:pPr>
        <w:jc w:val="left"/>
        <w:rPr>
          <w:sz w:val="24"/>
        </w:rPr>
      </w:pPr>
    </w:p>
    <w:p w14:paraId="6A647135" w14:textId="77777777" w:rsidR="00B97B86" w:rsidRDefault="00B97B86" w:rsidP="00DE6BF4">
      <w:pPr>
        <w:jc w:val="left"/>
        <w:rPr>
          <w:sz w:val="24"/>
        </w:rPr>
      </w:pPr>
    </w:p>
    <w:sdt>
      <w:sdtPr>
        <w:rPr>
          <w:rFonts w:asciiTheme="minorHAnsi" w:eastAsiaTheme="minorEastAsia" w:hAnsiTheme="minorHAnsi" w:cstheme="minorBidi"/>
          <w:color w:val="auto"/>
          <w:kern w:val="2"/>
          <w:sz w:val="21"/>
          <w:szCs w:val="22"/>
          <w:lang w:val="ja-JP"/>
        </w:rPr>
        <w:id w:val="-1435428954"/>
        <w:docPartObj>
          <w:docPartGallery w:val="Table of Contents"/>
          <w:docPartUnique/>
        </w:docPartObj>
      </w:sdtPr>
      <w:sdtEndPr>
        <w:rPr>
          <w:b/>
          <w:bCs/>
        </w:rPr>
      </w:sdtEndPr>
      <w:sdtContent>
        <w:p w14:paraId="1485EC17" w14:textId="65A31139" w:rsidR="00DA3269" w:rsidRPr="00DA3269" w:rsidRDefault="00DA3269">
          <w:pPr>
            <w:pStyle w:val="ae"/>
            <w:rPr>
              <w:color w:val="auto"/>
              <w:lang w:val="ja-JP"/>
            </w:rPr>
          </w:pPr>
          <w:r w:rsidRPr="00DA3269">
            <w:rPr>
              <w:rFonts w:hint="eastAsia"/>
              <w:color w:val="auto"/>
              <w:lang w:val="ja-JP"/>
            </w:rPr>
            <w:t>目次</w:t>
          </w:r>
        </w:p>
        <w:p w14:paraId="0712D440" w14:textId="77777777" w:rsidR="00DA3269" w:rsidRPr="00DA3269" w:rsidRDefault="00DA3269" w:rsidP="00DA3269">
          <w:pPr>
            <w:rPr>
              <w:lang w:val="ja-JP"/>
            </w:rPr>
          </w:pPr>
        </w:p>
        <w:p w14:paraId="56573FB0" w14:textId="1A34C3DE" w:rsidR="00DA3269" w:rsidRDefault="00DA3269">
          <w:pPr>
            <w:pStyle w:val="11"/>
            <w:tabs>
              <w:tab w:val="right" w:leader="dot" w:pos="9344"/>
            </w:tabs>
            <w:rPr>
              <w:noProof/>
            </w:rPr>
          </w:pPr>
          <w:r>
            <w:fldChar w:fldCharType="begin"/>
          </w:r>
          <w:r>
            <w:instrText xml:space="preserve"> TOC \o "1-3" \h \z \u </w:instrText>
          </w:r>
          <w:r>
            <w:fldChar w:fldCharType="separate"/>
          </w:r>
          <w:hyperlink w:anchor="_Toc136612124" w:history="1">
            <w:r w:rsidRPr="006B5F65">
              <w:rPr>
                <w:rStyle w:val="af"/>
                <w:rFonts w:ascii="ＭＳ ゴシック" w:eastAsia="ＭＳ ゴシック" w:hAnsi="ＭＳ ゴシック" w:cs="ＭＳ 明朝"/>
                <w:noProof/>
              </w:rPr>
              <w:t>第１　最新の最高裁判例について</w:t>
            </w:r>
            <w:r>
              <w:rPr>
                <w:noProof/>
                <w:webHidden/>
              </w:rPr>
              <w:tab/>
            </w:r>
            <w:r>
              <w:rPr>
                <w:noProof/>
                <w:webHidden/>
              </w:rPr>
              <w:fldChar w:fldCharType="begin"/>
            </w:r>
            <w:r>
              <w:rPr>
                <w:noProof/>
                <w:webHidden/>
              </w:rPr>
              <w:instrText xml:space="preserve"> PAGEREF _Toc136612124 \h </w:instrText>
            </w:r>
            <w:r>
              <w:rPr>
                <w:noProof/>
                <w:webHidden/>
              </w:rPr>
            </w:r>
            <w:r>
              <w:rPr>
                <w:noProof/>
                <w:webHidden/>
              </w:rPr>
              <w:fldChar w:fldCharType="separate"/>
            </w:r>
            <w:r>
              <w:rPr>
                <w:noProof/>
                <w:webHidden/>
              </w:rPr>
              <w:t>3</w:t>
            </w:r>
            <w:r>
              <w:rPr>
                <w:noProof/>
                <w:webHidden/>
              </w:rPr>
              <w:fldChar w:fldCharType="end"/>
            </w:r>
          </w:hyperlink>
        </w:p>
        <w:p w14:paraId="6C332BC3" w14:textId="59167A6F" w:rsidR="00DA3269" w:rsidRDefault="00CC7BC4">
          <w:pPr>
            <w:pStyle w:val="21"/>
            <w:tabs>
              <w:tab w:val="right" w:leader="dot" w:pos="9344"/>
            </w:tabs>
            <w:ind w:left="283"/>
            <w:rPr>
              <w:noProof/>
            </w:rPr>
          </w:pPr>
          <w:hyperlink w:anchor="_Toc136612125" w:history="1">
            <w:r w:rsidR="00DA3269" w:rsidRPr="006B5F65">
              <w:rPr>
                <w:rStyle w:val="af"/>
                <w:rFonts w:ascii="ＭＳ ゴシック" w:eastAsia="ＭＳ ゴシック" w:hAnsi="ＭＳ ゴシック" w:cs="Times New Roman"/>
                <w:noProof/>
                <w:spacing w:val="2"/>
                <w:kern w:val="0"/>
              </w:rPr>
              <w:t>１　最高裁判例の概要</w:t>
            </w:r>
            <w:r w:rsidR="00DA3269">
              <w:rPr>
                <w:noProof/>
                <w:webHidden/>
              </w:rPr>
              <w:tab/>
            </w:r>
            <w:r w:rsidR="00DA3269">
              <w:rPr>
                <w:noProof/>
                <w:webHidden/>
              </w:rPr>
              <w:fldChar w:fldCharType="begin"/>
            </w:r>
            <w:r w:rsidR="00DA3269">
              <w:rPr>
                <w:noProof/>
                <w:webHidden/>
              </w:rPr>
              <w:instrText xml:space="preserve"> PAGEREF _Toc136612125 \h </w:instrText>
            </w:r>
            <w:r w:rsidR="00DA3269">
              <w:rPr>
                <w:noProof/>
                <w:webHidden/>
              </w:rPr>
            </w:r>
            <w:r w:rsidR="00DA3269">
              <w:rPr>
                <w:noProof/>
                <w:webHidden/>
              </w:rPr>
              <w:fldChar w:fldCharType="separate"/>
            </w:r>
            <w:r w:rsidR="00DA3269">
              <w:rPr>
                <w:noProof/>
                <w:webHidden/>
              </w:rPr>
              <w:t>3</w:t>
            </w:r>
            <w:r w:rsidR="00DA3269">
              <w:rPr>
                <w:noProof/>
                <w:webHidden/>
              </w:rPr>
              <w:fldChar w:fldCharType="end"/>
            </w:r>
          </w:hyperlink>
        </w:p>
        <w:p w14:paraId="0222B61B" w14:textId="26542B71" w:rsidR="00DA3269" w:rsidRDefault="00CC7BC4">
          <w:pPr>
            <w:pStyle w:val="21"/>
            <w:tabs>
              <w:tab w:val="right" w:leader="dot" w:pos="9344"/>
            </w:tabs>
            <w:ind w:left="283"/>
            <w:rPr>
              <w:noProof/>
            </w:rPr>
          </w:pPr>
          <w:hyperlink w:anchor="_Toc136612126" w:history="1">
            <w:r w:rsidR="00DA3269" w:rsidRPr="006B5F65">
              <w:rPr>
                <w:rStyle w:val="af"/>
                <w:rFonts w:ascii="ＭＳ ゴシック" w:eastAsia="ＭＳ ゴシック" w:hAnsi="ＭＳ ゴシック" w:cs="Times New Roman"/>
                <w:noProof/>
                <w:spacing w:val="2"/>
                <w:kern w:val="0"/>
              </w:rPr>
              <w:t>（１）事案の概要</w:t>
            </w:r>
            <w:r w:rsidR="00DA3269">
              <w:rPr>
                <w:noProof/>
                <w:webHidden/>
              </w:rPr>
              <w:tab/>
            </w:r>
            <w:r w:rsidR="00DA3269">
              <w:rPr>
                <w:noProof/>
                <w:webHidden/>
              </w:rPr>
              <w:fldChar w:fldCharType="begin"/>
            </w:r>
            <w:r w:rsidR="00DA3269">
              <w:rPr>
                <w:noProof/>
                <w:webHidden/>
              </w:rPr>
              <w:instrText xml:space="preserve"> PAGEREF _Toc136612126 \h </w:instrText>
            </w:r>
            <w:r w:rsidR="00DA3269">
              <w:rPr>
                <w:noProof/>
                <w:webHidden/>
              </w:rPr>
            </w:r>
            <w:r w:rsidR="00DA3269">
              <w:rPr>
                <w:noProof/>
                <w:webHidden/>
              </w:rPr>
              <w:fldChar w:fldCharType="separate"/>
            </w:r>
            <w:r w:rsidR="00DA3269">
              <w:rPr>
                <w:noProof/>
                <w:webHidden/>
              </w:rPr>
              <w:t>3</w:t>
            </w:r>
            <w:r w:rsidR="00DA3269">
              <w:rPr>
                <w:noProof/>
                <w:webHidden/>
              </w:rPr>
              <w:fldChar w:fldCharType="end"/>
            </w:r>
          </w:hyperlink>
        </w:p>
        <w:p w14:paraId="08B0CA68" w14:textId="32B9B1BC" w:rsidR="00DA3269" w:rsidRDefault="00CC7BC4">
          <w:pPr>
            <w:pStyle w:val="21"/>
            <w:tabs>
              <w:tab w:val="right" w:leader="dot" w:pos="9344"/>
            </w:tabs>
            <w:ind w:left="283"/>
            <w:rPr>
              <w:noProof/>
            </w:rPr>
          </w:pPr>
          <w:hyperlink w:anchor="_Toc136612127" w:history="1">
            <w:r w:rsidR="00DA3269" w:rsidRPr="006B5F65">
              <w:rPr>
                <w:rStyle w:val="af"/>
                <w:rFonts w:ascii="ＭＳ ゴシック" w:eastAsia="ＭＳ ゴシック" w:hAnsi="ＭＳ ゴシック" w:cs="Times New Roman"/>
                <w:noProof/>
                <w:spacing w:val="2"/>
                <w:kern w:val="0"/>
              </w:rPr>
              <w:t>（２）多数意見の概要</w:t>
            </w:r>
            <w:r w:rsidR="00DA3269">
              <w:rPr>
                <w:noProof/>
                <w:webHidden/>
              </w:rPr>
              <w:tab/>
            </w:r>
            <w:r w:rsidR="00DA3269">
              <w:rPr>
                <w:noProof/>
                <w:webHidden/>
              </w:rPr>
              <w:fldChar w:fldCharType="begin"/>
            </w:r>
            <w:r w:rsidR="00DA3269">
              <w:rPr>
                <w:noProof/>
                <w:webHidden/>
              </w:rPr>
              <w:instrText xml:space="preserve"> PAGEREF _Toc136612127 \h </w:instrText>
            </w:r>
            <w:r w:rsidR="00DA3269">
              <w:rPr>
                <w:noProof/>
                <w:webHidden/>
              </w:rPr>
            </w:r>
            <w:r w:rsidR="00DA3269">
              <w:rPr>
                <w:noProof/>
                <w:webHidden/>
              </w:rPr>
              <w:fldChar w:fldCharType="separate"/>
            </w:r>
            <w:r w:rsidR="00DA3269">
              <w:rPr>
                <w:noProof/>
                <w:webHidden/>
              </w:rPr>
              <w:t>3</w:t>
            </w:r>
            <w:r w:rsidR="00DA3269">
              <w:rPr>
                <w:noProof/>
                <w:webHidden/>
              </w:rPr>
              <w:fldChar w:fldCharType="end"/>
            </w:r>
          </w:hyperlink>
        </w:p>
        <w:p w14:paraId="0151ABCA" w14:textId="6433C783" w:rsidR="00DA3269" w:rsidRDefault="00CC7BC4">
          <w:pPr>
            <w:pStyle w:val="21"/>
            <w:tabs>
              <w:tab w:val="right" w:leader="dot" w:pos="9344"/>
            </w:tabs>
            <w:ind w:left="283"/>
            <w:rPr>
              <w:noProof/>
            </w:rPr>
          </w:pPr>
          <w:hyperlink w:anchor="_Toc136612128" w:history="1">
            <w:r w:rsidR="00DA3269" w:rsidRPr="006B5F65">
              <w:rPr>
                <w:rStyle w:val="af"/>
                <w:rFonts w:ascii="ＭＳ ゴシック" w:eastAsia="ＭＳ ゴシック" w:hAnsi="ＭＳ ゴシック" w:cs="Times New Roman"/>
                <w:noProof/>
                <w:spacing w:val="2"/>
                <w:kern w:val="0"/>
              </w:rPr>
              <w:t>（３）林補足意見の概要</w:t>
            </w:r>
            <w:r w:rsidR="00DA3269">
              <w:rPr>
                <w:noProof/>
                <w:webHidden/>
              </w:rPr>
              <w:tab/>
            </w:r>
            <w:r w:rsidR="00DA3269">
              <w:rPr>
                <w:noProof/>
                <w:webHidden/>
              </w:rPr>
              <w:fldChar w:fldCharType="begin"/>
            </w:r>
            <w:r w:rsidR="00DA3269">
              <w:rPr>
                <w:noProof/>
                <w:webHidden/>
              </w:rPr>
              <w:instrText xml:space="preserve"> PAGEREF _Toc136612128 \h </w:instrText>
            </w:r>
            <w:r w:rsidR="00DA3269">
              <w:rPr>
                <w:noProof/>
                <w:webHidden/>
              </w:rPr>
            </w:r>
            <w:r w:rsidR="00DA3269">
              <w:rPr>
                <w:noProof/>
                <w:webHidden/>
              </w:rPr>
              <w:fldChar w:fldCharType="separate"/>
            </w:r>
            <w:r w:rsidR="00DA3269">
              <w:rPr>
                <w:noProof/>
                <w:webHidden/>
              </w:rPr>
              <w:t>4</w:t>
            </w:r>
            <w:r w:rsidR="00DA3269">
              <w:rPr>
                <w:noProof/>
                <w:webHidden/>
              </w:rPr>
              <w:fldChar w:fldCharType="end"/>
            </w:r>
          </w:hyperlink>
        </w:p>
        <w:p w14:paraId="35380ABD" w14:textId="60BC2412" w:rsidR="00DA3269" w:rsidRDefault="00CC7BC4">
          <w:pPr>
            <w:pStyle w:val="21"/>
            <w:tabs>
              <w:tab w:val="right" w:leader="dot" w:pos="9344"/>
            </w:tabs>
            <w:ind w:left="283"/>
            <w:rPr>
              <w:noProof/>
            </w:rPr>
          </w:pPr>
          <w:hyperlink w:anchor="_Toc136612129" w:history="1">
            <w:r w:rsidR="00DA3269" w:rsidRPr="006B5F65">
              <w:rPr>
                <w:rStyle w:val="af"/>
                <w:rFonts w:ascii="ＭＳ ゴシック" w:eastAsia="ＭＳ ゴシック" w:hAnsi="ＭＳ ゴシック" w:cs="Times New Roman"/>
                <w:noProof/>
                <w:spacing w:val="2"/>
                <w:kern w:val="0"/>
              </w:rPr>
              <w:t>（４）宇賀意見の概要</w:t>
            </w:r>
            <w:r w:rsidR="00DA3269">
              <w:rPr>
                <w:noProof/>
                <w:webHidden/>
              </w:rPr>
              <w:tab/>
            </w:r>
            <w:r w:rsidR="00DA3269">
              <w:rPr>
                <w:noProof/>
                <w:webHidden/>
              </w:rPr>
              <w:fldChar w:fldCharType="begin"/>
            </w:r>
            <w:r w:rsidR="00DA3269">
              <w:rPr>
                <w:noProof/>
                <w:webHidden/>
              </w:rPr>
              <w:instrText xml:space="preserve"> PAGEREF _Toc136612129 \h </w:instrText>
            </w:r>
            <w:r w:rsidR="00DA3269">
              <w:rPr>
                <w:noProof/>
                <w:webHidden/>
              </w:rPr>
            </w:r>
            <w:r w:rsidR="00DA3269">
              <w:rPr>
                <w:noProof/>
                <w:webHidden/>
              </w:rPr>
              <w:fldChar w:fldCharType="separate"/>
            </w:r>
            <w:r w:rsidR="00DA3269">
              <w:rPr>
                <w:noProof/>
                <w:webHidden/>
              </w:rPr>
              <w:t>4</w:t>
            </w:r>
            <w:r w:rsidR="00DA3269">
              <w:rPr>
                <w:noProof/>
                <w:webHidden/>
              </w:rPr>
              <w:fldChar w:fldCharType="end"/>
            </w:r>
          </w:hyperlink>
        </w:p>
        <w:p w14:paraId="4200BF3E" w14:textId="4087C10E" w:rsidR="00DA3269" w:rsidRDefault="00CC7BC4">
          <w:pPr>
            <w:pStyle w:val="21"/>
            <w:tabs>
              <w:tab w:val="right" w:leader="dot" w:pos="9344"/>
            </w:tabs>
            <w:ind w:left="283"/>
            <w:rPr>
              <w:noProof/>
            </w:rPr>
          </w:pPr>
          <w:hyperlink w:anchor="_Toc136612130" w:history="1">
            <w:r w:rsidR="00DA3269" w:rsidRPr="006B5F65">
              <w:rPr>
                <w:rStyle w:val="af"/>
                <w:rFonts w:ascii="ＭＳ ゴシック" w:eastAsia="ＭＳ ゴシック" w:hAnsi="ＭＳ ゴシック" w:cs="Times New Roman"/>
                <w:noProof/>
                <w:spacing w:val="2"/>
                <w:kern w:val="0"/>
              </w:rPr>
              <w:t>２　最新判例の意義について</w:t>
            </w:r>
            <w:r w:rsidR="00DA3269">
              <w:rPr>
                <w:noProof/>
                <w:webHidden/>
              </w:rPr>
              <w:tab/>
            </w:r>
            <w:r w:rsidR="00DA3269">
              <w:rPr>
                <w:noProof/>
                <w:webHidden/>
              </w:rPr>
              <w:fldChar w:fldCharType="begin"/>
            </w:r>
            <w:r w:rsidR="00DA3269">
              <w:rPr>
                <w:noProof/>
                <w:webHidden/>
              </w:rPr>
              <w:instrText xml:space="preserve"> PAGEREF _Toc136612130 \h </w:instrText>
            </w:r>
            <w:r w:rsidR="00DA3269">
              <w:rPr>
                <w:noProof/>
                <w:webHidden/>
              </w:rPr>
            </w:r>
            <w:r w:rsidR="00DA3269">
              <w:rPr>
                <w:noProof/>
                <w:webHidden/>
              </w:rPr>
              <w:fldChar w:fldCharType="separate"/>
            </w:r>
            <w:r w:rsidR="00DA3269">
              <w:rPr>
                <w:noProof/>
                <w:webHidden/>
              </w:rPr>
              <w:t>6</w:t>
            </w:r>
            <w:r w:rsidR="00DA3269">
              <w:rPr>
                <w:noProof/>
                <w:webHidden/>
              </w:rPr>
              <w:fldChar w:fldCharType="end"/>
            </w:r>
          </w:hyperlink>
        </w:p>
        <w:p w14:paraId="31B59005" w14:textId="7FAC4CC4" w:rsidR="00DA3269" w:rsidRDefault="00CC7BC4">
          <w:pPr>
            <w:pStyle w:val="21"/>
            <w:tabs>
              <w:tab w:val="right" w:leader="dot" w:pos="9344"/>
            </w:tabs>
            <w:ind w:left="283"/>
            <w:rPr>
              <w:noProof/>
            </w:rPr>
          </w:pPr>
          <w:hyperlink w:anchor="_Toc136612131" w:history="1">
            <w:r w:rsidR="00DA3269" w:rsidRPr="006B5F65">
              <w:rPr>
                <w:rStyle w:val="af"/>
                <w:rFonts w:ascii="ＭＳ ゴシック" w:eastAsia="ＭＳ ゴシック" w:hAnsi="ＭＳ ゴシック" w:cs="Times New Roman"/>
                <w:noProof/>
                <w:spacing w:val="2"/>
                <w:kern w:val="0"/>
              </w:rPr>
              <w:t>（１）法令の文言の形式的解釈に拘泥しなかったこと</w:t>
            </w:r>
            <w:r w:rsidR="00DA3269">
              <w:rPr>
                <w:noProof/>
                <w:webHidden/>
              </w:rPr>
              <w:tab/>
            </w:r>
            <w:r w:rsidR="00DA3269">
              <w:rPr>
                <w:noProof/>
                <w:webHidden/>
              </w:rPr>
              <w:fldChar w:fldCharType="begin"/>
            </w:r>
            <w:r w:rsidR="00DA3269">
              <w:rPr>
                <w:noProof/>
                <w:webHidden/>
              </w:rPr>
              <w:instrText xml:space="preserve"> PAGEREF _Toc136612131 \h </w:instrText>
            </w:r>
            <w:r w:rsidR="00DA3269">
              <w:rPr>
                <w:noProof/>
                <w:webHidden/>
              </w:rPr>
            </w:r>
            <w:r w:rsidR="00DA3269">
              <w:rPr>
                <w:noProof/>
                <w:webHidden/>
              </w:rPr>
              <w:fldChar w:fldCharType="separate"/>
            </w:r>
            <w:r w:rsidR="00DA3269">
              <w:rPr>
                <w:noProof/>
                <w:webHidden/>
              </w:rPr>
              <w:t>6</w:t>
            </w:r>
            <w:r w:rsidR="00DA3269">
              <w:rPr>
                <w:noProof/>
                <w:webHidden/>
              </w:rPr>
              <w:fldChar w:fldCharType="end"/>
            </w:r>
          </w:hyperlink>
        </w:p>
        <w:p w14:paraId="1D62CD8F" w14:textId="35BDF98B" w:rsidR="00DA3269" w:rsidRDefault="00CC7BC4">
          <w:pPr>
            <w:pStyle w:val="21"/>
            <w:tabs>
              <w:tab w:val="right" w:leader="dot" w:pos="9344"/>
            </w:tabs>
            <w:ind w:left="283"/>
            <w:rPr>
              <w:noProof/>
            </w:rPr>
          </w:pPr>
          <w:hyperlink w:anchor="_Toc136612132" w:history="1">
            <w:r w:rsidR="00DA3269" w:rsidRPr="006B5F65">
              <w:rPr>
                <w:rStyle w:val="af"/>
                <w:rFonts w:ascii="ＭＳ ゴシック" w:eastAsia="ＭＳ ゴシック" w:hAnsi="ＭＳ ゴシック" w:cs="Times New Roman"/>
                <w:noProof/>
                <w:spacing w:val="2"/>
                <w:kern w:val="0"/>
              </w:rPr>
              <w:t>（２）当該法令と目的を同じくする関係法令を参酌したこと</w:t>
            </w:r>
            <w:r w:rsidR="00DA3269">
              <w:rPr>
                <w:noProof/>
                <w:webHidden/>
              </w:rPr>
              <w:tab/>
            </w:r>
            <w:r w:rsidR="00DA3269">
              <w:rPr>
                <w:noProof/>
                <w:webHidden/>
              </w:rPr>
              <w:fldChar w:fldCharType="begin"/>
            </w:r>
            <w:r w:rsidR="00DA3269">
              <w:rPr>
                <w:noProof/>
                <w:webHidden/>
              </w:rPr>
              <w:instrText xml:space="preserve"> PAGEREF _Toc136612132 \h </w:instrText>
            </w:r>
            <w:r w:rsidR="00DA3269">
              <w:rPr>
                <w:noProof/>
                <w:webHidden/>
              </w:rPr>
            </w:r>
            <w:r w:rsidR="00DA3269">
              <w:rPr>
                <w:noProof/>
                <w:webHidden/>
              </w:rPr>
              <w:fldChar w:fldCharType="separate"/>
            </w:r>
            <w:r w:rsidR="00DA3269">
              <w:rPr>
                <w:noProof/>
                <w:webHidden/>
              </w:rPr>
              <w:t>8</w:t>
            </w:r>
            <w:r w:rsidR="00DA3269">
              <w:rPr>
                <w:noProof/>
                <w:webHidden/>
              </w:rPr>
              <w:fldChar w:fldCharType="end"/>
            </w:r>
          </w:hyperlink>
        </w:p>
        <w:p w14:paraId="7274B433" w14:textId="45F1B46E" w:rsidR="00DA3269" w:rsidRDefault="00CC7BC4">
          <w:pPr>
            <w:pStyle w:val="21"/>
            <w:tabs>
              <w:tab w:val="right" w:leader="dot" w:pos="9344"/>
            </w:tabs>
            <w:ind w:left="283"/>
            <w:rPr>
              <w:noProof/>
            </w:rPr>
          </w:pPr>
          <w:hyperlink w:anchor="_Toc136612133" w:history="1">
            <w:r w:rsidR="00DA3269" w:rsidRPr="006B5F65">
              <w:rPr>
                <w:rStyle w:val="af"/>
                <w:rFonts w:ascii="ＭＳ ゴシック" w:eastAsia="ＭＳ ゴシック" w:hAnsi="ＭＳ ゴシック" w:cs="Times New Roman"/>
                <w:noProof/>
                <w:spacing w:val="2"/>
                <w:kern w:val="0"/>
              </w:rPr>
              <w:t>（３）埋葬施設の運用による影響を考慮したこと</w:t>
            </w:r>
            <w:r w:rsidR="00DA3269">
              <w:rPr>
                <w:noProof/>
                <w:webHidden/>
              </w:rPr>
              <w:tab/>
            </w:r>
            <w:r w:rsidR="00DA3269">
              <w:rPr>
                <w:noProof/>
                <w:webHidden/>
              </w:rPr>
              <w:fldChar w:fldCharType="begin"/>
            </w:r>
            <w:r w:rsidR="00DA3269">
              <w:rPr>
                <w:noProof/>
                <w:webHidden/>
              </w:rPr>
              <w:instrText xml:space="preserve"> PAGEREF _Toc136612133 \h </w:instrText>
            </w:r>
            <w:r w:rsidR="00DA3269">
              <w:rPr>
                <w:noProof/>
                <w:webHidden/>
              </w:rPr>
            </w:r>
            <w:r w:rsidR="00DA3269">
              <w:rPr>
                <w:noProof/>
                <w:webHidden/>
              </w:rPr>
              <w:fldChar w:fldCharType="separate"/>
            </w:r>
            <w:r w:rsidR="00DA3269">
              <w:rPr>
                <w:noProof/>
                <w:webHidden/>
              </w:rPr>
              <w:t>8</w:t>
            </w:r>
            <w:r w:rsidR="00DA3269">
              <w:rPr>
                <w:noProof/>
                <w:webHidden/>
              </w:rPr>
              <w:fldChar w:fldCharType="end"/>
            </w:r>
          </w:hyperlink>
        </w:p>
        <w:p w14:paraId="0231ECC9" w14:textId="33A441F3" w:rsidR="00DA3269" w:rsidRDefault="00CC7BC4">
          <w:pPr>
            <w:pStyle w:val="21"/>
            <w:tabs>
              <w:tab w:val="right" w:leader="dot" w:pos="9344"/>
            </w:tabs>
            <w:ind w:left="283"/>
            <w:rPr>
              <w:noProof/>
            </w:rPr>
          </w:pPr>
          <w:hyperlink w:anchor="_Toc136612134" w:history="1">
            <w:r w:rsidR="00DA3269" w:rsidRPr="006B5F65">
              <w:rPr>
                <w:rStyle w:val="af"/>
                <w:rFonts w:ascii="ＭＳ ゴシック" w:eastAsia="ＭＳ ゴシック" w:hAnsi="ＭＳ ゴシック" w:cs="Times New Roman"/>
                <w:noProof/>
                <w:spacing w:val="2"/>
                <w:kern w:val="0"/>
              </w:rPr>
              <w:t>（４）原告適格判断における審理のあり方について述べられたこと</w:t>
            </w:r>
            <w:r w:rsidR="00DA3269">
              <w:rPr>
                <w:noProof/>
                <w:webHidden/>
              </w:rPr>
              <w:tab/>
            </w:r>
            <w:r w:rsidR="00DA3269">
              <w:rPr>
                <w:noProof/>
                <w:webHidden/>
              </w:rPr>
              <w:fldChar w:fldCharType="begin"/>
            </w:r>
            <w:r w:rsidR="00DA3269">
              <w:rPr>
                <w:noProof/>
                <w:webHidden/>
              </w:rPr>
              <w:instrText xml:space="preserve"> PAGEREF _Toc136612134 \h </w:instrText>
            </w:r>
            <w:r w:rsidR="00DA3269">
              <w:rPr>
                <w:noProof/>
                <w:webHidden/>
              </w:rPr>
            </w:r>
            <w:r w:rsidR="00DA3269">
              <w:rPr>
                <w:noProof/>
                <w:webHidden/>
              </w:rPr>
              <w:fldChar w:fldCharType="separate"/>
            </w:r>
            <w:r w:rsidR="00DA3269">
              <w:rPr>
                <w:noProof/>
                <w:webHidden/>
              </w:rPr>
              <w:t>10</w:t>
            </w:r>
            <w:r w:rsidR="00DA3269">
              <w:rPr>
                <w:noProof/>
                <w:webHidden/>
              </w:rPr>
              <w:fldChar w:fldCharType="end"/>
            </w:r>
          </w:hyperlink>
        </w:p>
        <w:p w14:paraId="50558FFE" w14:textId="399428EF" w:rsidR="00DA3269" w:rsidRDefault="00CC7BC4">
          <w:pPr>
            <w:pStyle w:val="11"/>
            <w:tabs>
              <w:tab w:val="right" w:leader="dot" w:pos="9344"/>
            </w:tabs>
            <w:rPr>
              <w:noProof/>
            </w:rPr>
          </w:pPr>
          <w:hyperlink w:anchor="_Toc136612135" w:history="1">
            <w:r w:rsidR="00DA3269" w:rsidRPr="006B5F65">
              <w:rPr>
                <w:rStyle w:val="af"/>
                <w:rFonts w:ascii="ＭＳ ゴシック" w:eastAsia="ＭＳ ゴシック" w:hAnsi="ＭＳ ゴシック" w:cs="ＭＳ 明朝"/>
                <w:noProof/>
              </w:rPr>
              <w:t>第２　被告準備書面１について</w:t>
            </w:r>
            <w:r w:rsidR="00DA3269">
              <w:rPr>
                <w:noProof/>
                <w:webHidden/>
              </w:rPr>
              <w:tab/>
            </w:r>
            <w:r w:rsidR="00DA3269">
              <w:rPr>
                <w:noProof/>
                <w:webHidden/>
              </w:rPr>
              <w:fldChar w:fldCharType="begin"/>
            </w:r>
            <w:r w:rsidR="00DA3269">
              <w:rPr>
                <w:noProof/>
                <w:webHidden/>
              </w:rPr>
              <w:instrText xml:space="preserve"> PAGEREF _Toc136612135 \h </w:instrText>
            </w:r>
            <w:r w:rsidR="00DA3269">
              <w:rPr>
                <w:noProof/>
                <w:webHidden/>
              </w:rPr>
            </w:r>
            <w:r w:rsidR="00DA3269">
              <w:rPr>
                <w:noProof/>
                <w:webHidden/>
              </w:rPr>
              <w:fldChar w:fldCharType="separate"/>
            </w:r>
            <w:r w:rsidR="00DA3269">
              <w:rPr>
                <w:noProof/>
                <w:webHidden/>
              </w:rPr>
              <w:t>11</w:t>
            </w:r>
            <w:r w:rsidR="00DA3269">
              <w:rPr>
                <w:noProof/>
                <w:webHidden/>
              </w:rPr>
              <w:fldChar w:fldCharType="end"/>
            </w:r>
          </w:hyperlink>
        </w:p>
        <w:p w14:paraId="7D81ED39" w14:textId="0D957CCD" w:rsidR="00DA3269" w:rsidRDefault="00CC7BC4">
          <w:pPr>
            <w:pStyle w:val="21"/>
            <w:tabs>
              <w:tab w:val="right" w:leader="dot" w:pos="9344"/>
            </w:tabs>
            <w:ind w:left="283"/>
            <w:rPr>
              <w:noProof/>
            </w:rPr>
          </w:pPr>
          <w:hyperlink w:anchor="_Toc136612136" w:history="1">
            <w:r w:rsidR="00DA3269" w:rsidRPr="006B5F65">
              <w:rPr>
                <w:rStyle w:val="af"/>
                <w:rFonts w:ascii="ＭＳ ゴシック" w:eastAsia="ＭＳ ゴシック" w:hAnsi="ＭＳ ゴシック" w:cs="Times New Roman"/>
                <w:noProof/>
                <w:spacing w:val="2"/>
                <w:kern w:val="0"/>
              </w:rPr>
              <w:t>１　法令の文言の形式的解釈に拘泥していること</w:t>
            </w:r>
            <w:r w:rsidR="00DA3269">
              <w:rPr>
                <w:noProof/>
                <w:webHidden/>
              </w:rPr>
              <w:tab/>
            </w:r>
            <w:r w:rsidR="00DA3269">
              <w:rPr>
                <w:noProof/>
                <w:webHidden/>
              </w:rPr>
              <w:fldChar w:fldCharType="begin"/>
            </w:r>
            <w:r w:rsidR="00DA3269">
              <w:rPr>
                <w:noProof/>
                <w:webHidden/>
              </w:rPr>
              <w:instrText xml:space="preserve"> PAGEREF _Toc136612136 \h </w:instrText>
            </w:r>
            <w:r w:rsidR="00DA3269">
              <w:rPr>
                <w:noProof/>
                <w:webHidden/>
              </w:rPr>
            </w:r>
            <w:r w:rsidR="00DA3269">
              <w:rPr>
                <w:noProof/>
                <w:webHidden/>
              </w:rPr>
              <w:fldChar w:fldCharType="separate"/>
            </w:r>
            <w:r w:rsidR="00DA3269">
              <w:rPr>
                <w:noProof/>
                <w:webHidden/>
              </w:rPr>
              <w:t>12</w:t>
            </w:r>
            <w:r w:rsidR="00DA3269">
              <w:rPr>
                <w:noProof/>
                <w:webHidden/>
              </w:rPr>
              <w:fldChar w:fldCharType="end"/>
            </w:r>
          </w:hyperlink>
        </w:p>
        <w:p w14:paraId="7C768E67" w14:textId="558FD4E2" w:rsidR="00DA3269" w:rsidRDefault="00CC7BC4">
          <w:pPr>
            <w:pStyle w:val="21"/>
            <w:tabs>
              <w:tab w:val="right" w:leader="dot" w:pos="9344"/>
            </w:tabs>
            <w:ind w:left="283"/>
            <w:rPr>
              <w:noProof/>
            </w:rPr>
          </w:pPr>
          <w:hyperlink w:anchor="_Toc136612137" w:history="1">
            <w:r w:rsidR="00DA3269" w:rsidRPr="006B5F65">
              <w:rPr>
                <w:rStyle w:val="af"/>
                <w:rFonts w:ascii="ＭＳ ゴシック" w:eastAsia="ＭＳ ゴシック" w:hAnsi="ＭＳ ゴシック" w:cs="Times New Roman"/>
                <w:noProof/>
                <w:spacing w:val="2"/>
                <w:kern w:val="0"/>
              </w:rPr>
              <w:t>２　埋立法と目的を共通にする関係法令を考慮しようとしていないこと</w:t>
            </w:r>
            <w:r w:rsidR="00DA3269">
              <w:rPr>
                <w:noProof/>
                <w:webHidden/>
              </w:rPr>
              <w:tab/>
            </w:r>
            <w:r w:rsidR="00DA3269">
              <w:rPr>
                <w:noProof/>
                <w:webHidden/>
              </w:rPr>
              <w:fldChar w:fldCharType="begin"/>
            </w:r>
            <w:r w:rsidR="00DA3269">
              <w:rPr>
                <w:noProof/>
                <w:webHidden/>
              </w:rPr>
              <w:instrText xml:space="preserve"> PAGEREF _Toc136612137 \h </w:instrText>
            </w:r>
            <w:r w:rsidR="00DA3269">
              <w:rPr>
                <w:noProof/>
                <w:webHidden/>
              </w:rPr>
            </w:r>
            <w:r w:rsidR="00DA3269">
              <w:rPr>
                <w:noProof/>
                <w:webHidden/>
              </w:rPr>
              <w:fldChar w:fldCharType="separate"/>
            </w:r>
            <w:r w:rsidR="00DA3269">
              <w:rPr>
                <w:noProof/>
                <w:webHidden/>
              </w:rPr>
              <w:t>13</w:t>
            </w:r>
            <w:r w:rsidR="00DA3269">
              <w:rPr>
                <w:noProof/>
                <w:webHidden/>
              </w:rPr>
              <w:fldChar w:fldCharType="end"/>
            </w:r>
          </w:hyperlink>
        </w:p>
        <w:p w14:paraId="6B41F86E" w14:textId="72419F08" w:rsidR="00DA3269" w:rsidRDefault="00CC7BC4">
          <w:pPr>
            <w:pStyle w:val="21"/>
            <w:tabs>
              <w:tab w:val="right" w:leader="dot" w:pos="9344"/>
            </w:tabs>
            <w:ind w:left="283"/>
            <w:rPr>
              <w:noProof/>
            </w:rPr>
          </w:pPr>
          <w:hyperlink w:anchor="_Toc136612138" w:history="1">
            <w:r w:rsidR="00DA3269" w:rsidRPr="006B5F65">
              <w:rPr>
                <w:rStyle w:val="af"/>
                <w:rFonts w:ascii="ＭＳ ゴシック" w:eastAsia="ＭＳ ゴシック" w:hAnsi="ＭＳ ゴシック" w:cs="Times New Roman"/>
                <w:noProof/>
                <w:spacing w:val="2"/>
                <w:kern w:val="0"/>
              </w:rPr>
              <w:t>３　施設の運用による影響を考慮すべきこと</w:t>
            </w:r>
            <w:r w:rsidR="00DA3269">
              <w:rPr>
                <w:noProof/>
                <w:webHidden/>
              </w:rPr>
              <w:tab/>
            </w:r>
            <w:r w:rsidR="00DA3269">
              <w:rPr>
                <w:noProof/>
                <w:webHidden/>
              </w:rPr>
              <w:fldChar w:fldCharType="begin"/>
            </w:r>
            <w:r w:rsidR="00DA3269">
              <w:rPr>
                <w:noProof/>
                <w:webHidden/>
              </w:rPr>
              <w:instrText xml:space="preserve"> PAGEREF _Toc136612138 \h </w:instrText>
            </w:r>
            <w:r w:rsidR="00DA3269">
              <w:rPr>
                <w:noProof/>
                <w:webHidden/>
              </w:rPr>
            </w:r>
            <w:r w:rsidR="00DA3269">
              <w:rPr>
                <w:noProof/>
                <w:webHidden/>
              </w:rPr>
              <w:fldChar w:fldCharType="separate"/>
            </w:r>
            <w:r w:rsidR="00DA3269">
              <w:rPr>
                <w:noProof/>
                <w:webHidden/>
              </w:rPr>
              <w:t>15</w:t>
            </w:r>
            <w:r w:rsidR="00DA3269">
              <w:rPr>
                <w:noProof/>
                <w:webHidden/>
              </w:rPr>
              <w:fldChar w:fldCharType="end"/>
            </w:r>
          </w:hyperlink>
        </w:p>
        <w:p w14:paraId="5CE48D45" w14:textId="42438A43" w:rsidR="00DA3269" w:rsidRDefault="00CC7BC4">
          <w:pPr>
            <w:pStyle w:val="21"/>
            <w:tabs>
              <w:tab w:val="right" w:leader="dot" w:pos="9344"/>
            </w:tabs>
            <w:ind w:left="283"/>
            <w:rPr>
              <w:noProof/>
            </w:rPr>
          </w:pPr>
          <w:hyperlink w:anchor="_Toc136612139" w:history="1">
            <w:r w:rsidR="00DA3269" w:rsidRPr="006B5F65">
              <w:rPr>
                <w:rStyle w:val="af"/>
                <w:rFonts w:ascii="ＭＳ ゴシック" w:eastAsia="ＭＳ ゴシック" w:hAnsi="ＭＳ ゴシック" w:cs="Times New Roman"/>
                <w:noProof/>
                <w:spacing w:val="2"/>
                <w:kern w:val="0"/>
              </w:rPr>
              <w:t>４　審理のあり方について</w:t>
            </w:r>
            <w:r w:rsidR="00DA3269">
              <w:rPr>
                <w:noProof/>
                <w:webHidden/>
              </w:rPr>
              <w:tab/>
            </w:r>
            <w:r w:rsidR="00DA3269">
              <w:rPr>
                <w:noProof/>
                <w:webHidden/>
              </w:rPr>
              <w:fldChar w:fldCharType="begin"/>
            </w:r>
            <w:r w:rsidR="00DA3269">
              <w:rPr>
                <w:noProof/>
                <w:webHidden/>
              </w:rPr>
              <w:instrText xml:space="preserve"> PAGEREF _Toc136612139 \h </w:instrText>
            </w:r>
            <w:r w:rsidR="00DA3269">
              <w:rPr>
                <w:noProof/>
                <w:webHidden/>
              </w:rPr>
            </w:r>
            <w:r w:rsidR="00DA3269">
              <w:rPr>
                <w:noProof/>
                <w:webHidden/>
              </w:rPr>
              <w:fldChar w:fldCharType="separate"/>
            </w:r>
            <w:r w:rsidR="00DA3269">
              <w:rPr>
                <w:noProof/>
                <w:webHidden/>
              </w:rPr>
              <w:t>16</w:t>
            </w:r>
            <w:r w:rsidR="00DA3269">
              <w:rPr>
                <w:noProof/>
                <w:webHidden/>
              </w:rPr>
              <w:fldChar w:fldCharType="end"/>
            </w:r>
          </w:hyperlink>
        </w:p>
        <w:p w14:paraId="470C6CE7" w14:textId="55B38B9B" w:rsidR="00DA3269" w:rsidRDefault="00CC7BC4">
          <w:pPr>
            <w:pStyle w:val="11"/>
            <w:tabs>
              <w:tab w:val="right" w:leader="dot" w:pos="9344"/>
            </w:tabs>
            <w:rPr>
              <w:noProof/>
            </w:rPr>
          </w:pPr>
          <w:hyperlink w:anchor="_Toc136612140" w:history="1">
            <w:r w:rsidR="00DA3269" w:rsidRPr="006B5F65">
              <w:rPr>
                <w:rStyle w:val="af"/>
                <w:rFonts w:ascii="ＭＳ ゴシック" w:eastAsia="ＭＳ ゴシック" w:hAnsi="ＭＳ ゴシック" w:cs="ＭＳ 明朝"/>
                <w:noProof/>
              </w:rPr>
              <w:t>第３　今後の主張の予定について</w:t>
            </w:r>
            <w:r w:rsidR="00DA3269">
              <w:rPr>
                <w:noProof/>
                <w:webHidden/>
              </w:rPr>
              <w:tab/>
            </w:r>
            <w:r w:rsidR="00DA3269">
              <w:rPr>
                <w:noProof/>
                <w:webHidden/>
              </w:rPr>
              <w:fldChar w:fldCharType="begin"/>
            </w:r>
            <w:r w:rsidR="00DA3269">
              <w:rPr>
                <w:noProof/>
                <w:webHidden/>
              </w:rPr>
              <w:instrText xml:space="preserve"> PAGEREF _Toc136612140 \h </w:instrText>
            </w:r>
            <w:r w:rsidR="00DA3269">
              <w:rPr>
                <w:noProof/>
                <w:webHidden/>
              </w:rPr>
            </w:r>
            <w:r w:rsidR="00DA3269">
              <w:rPr>
                <w:noProof/>
                <w:webHidden/>
              </w:rPr>
              <w:fldChar w:fldCharType="separate"/>
            </w:r>
            <w:r w:rsidR="00DA3269">
              <w:rPr>
                <w:noProof/>
                <w:webHidden/>
              </w:rPr>
              <w:t>18</w:t>
            </w:r>
            <w:r w:rsidR="00DA3269">
              <w:rPr>
                <w:noProof/>
                <w:webHidden/>
              </w:rPr>
              <w:fldChar w:fldCharType="end"/>
            </w:r>
          </w:hyperlink>
        </w:p>
        <w:p w14:paraId="70BEFD1A" w14:textId="63FF91B9" w:rsidR="00DA3269" w:rsidRDefault="00DA3269">
          <w:r>
            <w:rPr>
              <w:b/>
              <w:bCs/>
              <w:lang w:val="ja-JP"/>
            </w:rPr>
            <w:fldChar w:fldCharType="end"/>
          </w:r>
        </w:p>
      </w:sdtContent>
    </w:sdt>
    <w:p w14:paraId="08883132" w14:textId="77777777" w:rsidR="00B97B86" w:rsidRDefault="00B97B86" w:rsidP="00DE6BF4">
      <w:pPr>
        <w:jc w:val="left"/>
        <w:rPr>
          <w:sz w:val="24"/>
        </w:rPr>
      </w:pPr>
    </w:p>
    <w:p w14:paraId="3D27CE58" w14:textId="77777777" w:rsidR="000F6D41" w:rsidRDefault="000F6D41" w:rsidP="00DE6BF4">
      <w:pPr>
        <w:jc w:val="left"/>
        <w:rPr>
          <w:sz w:val="24"/>
        </w:rPr>
      </w:pPr>
    </w:p>
    <w:p w14:paraId="579C0E5E" w14:textId="6F736165" w:rsidR="00B05C3F" w:rsidRPr="00B97B86" w:rsidRDefault="00DE6BF4" w:rsidP="00B97B86">
      <w:pPr>
        <w:pStyle w:val="1"/>
        <w:rPr>
          <w:rFonts w:ascii="ＭＳ ゴシック" w:eastAsia="ＭＳ ゴシック" w:hAnsi="ＭＳ ゴシック" w:cs="ＭＳ 明朝"/>
          <w:color w:val="000000"/>
        </w:rPr>
      </w:pPr>
      <w:bookmarkStart w:id="1" w:name="_Toc136612124"/>
      <w:r w:rsidRPr="00B97B86">
        <w:rPr>
          <w:rFonts w:ascii="ＭＳ ゴシック" w:eastAsia="ＭＳ ゴシック" w:hAnsi="ＭＳ ゴシック" w:cs="ＭＳ 明朝" w:hint="eastAsia"/>
          <w:color w:val="000000"/>
        </w:rPr>
        <w:lastRenderedPageBreak/>
        <w:t>第</w:t>
      </w:r>
      <w:r w:rsidR="000C232F" w:rsidRPr="00B97B86">
        <w:rPr>
          <w:rFonts w:ascii="ＭＳ ゴシック" w:eastAsia="ＭＳ ゴシック" w:hAnsi="ＭＳ ゴシック" w:cs="ＭＳ 明朝" w:hint="eastAsia"/>
          <w:color w:val="000000"/>
        </w:rPr>
        <w:t>１</w:t>
      </w:r>
      <w:r w:rsidRPr="00B97B86">
        <w:rPr>
          <w:rFonts w:ascii="ＭＳ ゴシック" w:eastAsia="ＭＳ ゴシック" w:hAnsi="ＭＳ ゴシック" w:cs="ＭＳ 明朝" w:hint="eastAsia"/>
          <w:color w:val="000000"/>
        </w:rPr>
        <w:t xml:space="preserve">　</w:t>
      </w:r>
      <w:r w:rsidR="000F6D41" w:rsidRPr="00B97B86">
        <w:rPr>
          <w:rFonts w:ascii="ＭＳ ゴシック" w:eastAsia="ＭＳ ゴシック" w:hAnsi="ＭＳ ゴシック" w:cs="ＭＳ 明朝" w:hint="eastAsia"/>
          <w:color w:val="000000"/>
        </w:rPr>
        <w:t>最新</w:t>
      </w:r>
      <w:r w:rsidRPr="00B97B86">
        <w:rPr>
          <w:rFonts w:ascii="ＭＳ ゴシック" w:eastAsia="ＭＳ ゴシック" w:hAnsi="ＭＳ ゴシック" w:cs="ＭＳ 明朝" w:hint="eastAsia"/>
          <w:color w:val="000000"/>
        </w:rPr>
        <w:t>の最高裁判例について</w:t>
      </w:r>
      <w:bookmarkEnd w:id="1"/>
    </w:p>
    <w:p w14:paraId="2E5C6FE0" w14:textId="584E8C31" w:rsidR="00DE6BF4" w:rsidRPr="00B97B86" w:rsidRDefault="00DE6BF4" w:rsidP="00B97B86">
      <w:pPr>
        <w:pStyle w:val="2"/>
        <w:ind w:firstLineChars="100" w:firstLine="317"/>
        <w:rPr>
          <w:rFonts w:ascii="ＭＳ ゴシック" w:eastAsia="ＭＳ ゴシック" w:hAnsi="ＭＳ ゴシック" w:cs="Times New Roman"/>
          <w:spacing w:val="2"/>
          <w:kern w:val="0"/>
          <w:szCs w:val="24"/>
        </w:rPr>
      </w:pPr>
      <w:bookmarkStart w:id="2" w:name="_Toc136612125"/>
      <w:r w:rsidRPr="00B97B86">
        <w:rPr>
          <w:rFonts w:ascii="ＭＳ ゴシック" w:eastAsia="ＭＳ ゴシック" w:hAnsi="ＭＳ ゴシック" w:cs="Times New Roman" w:hint="eastAsia"/>
          <w:spacing w:val="2"/>
          <w:kern w:val="0"/>
          <w:szCs w:val="24"/>
        </w:rPr>
        <w:t>１　最高裁判例の概要</w:t>
      </w:r>
      <w:bookmarkEnd w:id="2"/>
    </w:p>
    <w:p w14:paraId="57AAE137" w14:textId="77777777" w:rsidR="00DE6BF4" w:rsidRPr="00B97B86" w:rsidRDefault="00DE6BF4" w:rsidP="00B97B86">
      <w:pPr>
        <w:pStyle w:val="2"/>
        <w:ind w:firstLineChars="100" w:firstLine="317"/>
        <w:rPr>
          <w:rFonts w:ascii="ＭＳ ゴシック" w:eastAsia="ＭＳ ゴシック" w:hAnsi="ＭＳ ゴシック" w:cs="Times New Roman"/>
          <w:spacing w:val="2"/>
          <w:kern w:val="0"/>
          <w:szCs w:val="24"/>
        </w:rPr>
      </w:pPr>
      <w:bookmarkStart w:id="3" w:name="_Toc136612126"/>
      <w:r w:rsidRPr="00B97B86">
        <w:rPr>
          <w:rFonts w:ascii="ＭＳ ゴシック" w:eastAsia="ＭＳ ゴシック" w:hAnsi="ＭＳ ゴシック" w:cs="Times New Roman" w:hint="eastAsia"/>
          <w:spacing w:val="2"/>
          <w:kern w:val="0"/>
          <w:szCs w:val="24"/>
        </w:rPr>
        <w:t>（１）事案の概要</w:t>
      </w:r>
      <w:bookmarkEnd w:id="3"/>
    </w:p>
    <w:p w14:paraId="57C2D732" w14:textId="368D833F" w:rsidR="00DE6BF4" w:rsidRDefault="00DE6BF4" w:rsidP="00DE6BF4">
      <w:pPr>
        <w:ind w:leftChars="200" w:left="879" w:hangingChars="100" w:hanging="313"/>
        <w:jc w:val="left"/>
        <w:rPr>
          <w:sz w:val="24"/>
        </w:rPr>
      </w:pPr>
      <w:r>
        <w:rPr>
          <w:rFonts w:hint="eastAsia"/>
          <w:sz w:val="24"/>
        </w:rPr>
        <w:t xml:space="preserve">　　</w:t>
      </w:r>
      <w:r w:rsidR="009C1B44">
        <w:rPr>
          <w:rFonts w:hint="eastAsia"/>
          <w:sz w:val="24"/>
        </w:rPr>
        <w:t>周知のとおり、先月</w:t>
      </w:r>
      <w:r>
        <w:rPr>
          <w:rFonts w:hint="eastAsia"/>
          <w:sz w:val="24"/>
        </w:rPr>
        <w:t>９日、原告適格</w:t>
      </w:r>
      <w:r w:rsidR="009C1B44">
        <w:rPr>
          <w:rFonts w:hint="eastAsia"/>
          <w:sz w:val="24"/>
        </w:rPr>
        <w:t>論</w:t>
      </w:r>
      <w:r>
        <w:rPr>
          <w:rFonts w:hint="eastAsia"/>
          <w:sz w:val="24"/>
        </w:rPr>
        <w:t>に関する重要な最高裁判例が出された</w:t>
      </w:r>
      <w:r w:rsidR="009C1B44">
        <w:rPr>
          <w:rFonts w:hint="eastAsia"/>
          <w:sz w:val="24"/>
        </w:rPr>
        <w:t>（甲４３</w:t>
      </w:r>
      <w:r w:rsidR="00602097">
        <w:rPr>
          <w:rFonts w:hint="eastAsia"/>
          <w:sz w:val="24"/>
        </w:rPr>
        <w:t>。以下「最新判例」という。</w:t>
      </w:r>
      <w:r w:rsidR="009C1B44">
        <w:rPr>
          <w:rFonts w:hint="eastAsia"/>
          <w:sz w:val="24"/>
        </w:rPr>
        <w:t>）</w:t>
      </w:r>
      <w:r>
        <w:rPr>
          <w:rFonts w:hint="eastAsia"/>
          <w:sz w:val="24"/>
        </w:rPr>
        <w:t>。</w:t>
      </w:r>
    </w:p>
    <w:p w14:paraId="09EBA7EA" w14:textId="4DEC6671" w:rsidR="00DE6BF4" w:rsidRDefault="009C1B44" w:rsidP="00DE6BF4">
      <w:pPr>
        <w:ind w:leftChars="300" w:left="849" w:firstLineChars="100" w:firstLine="313"/>
        <w:jc w:val="left"/>
        <w:rPr>
          <w:sz w:val="24"/>
        </w:rPr>
      </w:pPr>
      <w:r>
        <w:rPr>
          <w:rFonts w:hint="eastAsia"/>
          <w:sz w:val="24"/>
        </w:rPr>
        <w:t>この事件は、</w:t>
      </w:r>
      <w:r w:rsidR="00DE6BF4">
        <w:rPr>
          <w:rFonts w:hint="eastAsia"/>
          <w:sz w:val="24"/>
        </w:rPr>
        <w:t>大阪市長が、</w:t>
      </w:r>
      <w:r w:rsidR="00DE6BF4" w:rsidRPr="00DE6BF4">
        <w:rPr>
          <w:rFonts w:hint="eastAsia"/>
          <w:sz w:val="24"/>
        </w:rPr>
        <w:t>墓地、埋葬等に関する法律（以下「</w:t>
      </w:r>
      <w:r w:rsidR="00DE6BF4">
        <w:rPr>
          <w:rFonts w:hint="eastAsia"/>
          <w:sz w:val="24"/>
        </w:rPr>
        <w:t>墓埋</w:t>
      </w:r>
      <w:r w:rsidR="00DE6BF4" w:rsidRPr="00DE6BF4">
        <w:rPr>
          <w:rFonts w:hint="eastAsia"/>
          <w:sz w:val="24"/>
        </w:rPr>
        <w:t>法」という。）１０条の規定により、納骨堂の経営</w:t>
      </w:r>
      <w:r>
        <w:rPr>
          <w:rFonts w:hint="eastAsia"/>
          <w:sz w:val="24"/>
        </w:rPr>
        <w:t>等</w:t>
      </w:r>
      <w:r w:rsidR="00DE6BF4" w:rsidRPr="00DE6BF4">
        <w:rPr>
          <w:rFonts w:hint="eastAsia"/>
          <w:sz w:val="24"/>
        </w:rPr>
        <w:t>の許可（以下「</w:t>
      </w:r>
      <w:r w:rsidR="00DE6BF4">
        <w:rPr>
          <w:rFonts w:hint="eastAsia"/>
          <w:sz w:val="24"/>
        </w:rPr>
        <w:t>経営</w:t>
      </w:r>
      <w:r>
        <w:rPr>
          <w:rFonts w:hint="eastAsia"/>
          <w:sz w:val="24"/>
        </w:rPr>
        <w:t>等</w:t>
      </w:r>
      <w:r w:rsidR="00DE6BF4" w:rsidRPr="00DE6BF4">
        <w:rPr>
          <w:rFonts w:hint="eastAsia"/>
          <w:sz w:val="24"/>
        </w:rPr>
        <w:t>許可」という。）</w:t>
      </w:r>
      <w:r w:rsidR="00DE6BF4">
        <w:rPr>
          <w:rFonts w:hint="eastAsia"/>
          <w:sz w:val="24"/>
        </w:rPr>
        <w:t>を</w:t>
      </w:r>
      <w:r w:rsidR="00DE6BF4" w:rsidRPr="00DE6BF4">
        <w:rPr>
          <w:rFonts w:hint="eastAsia"/>
          <w:sz w:val="24"/>
        </w:rPr>
        <w:t>したところ、同納骨堂の周辺に居住する</w:t>
      </w:r>
      <w:r w:rsidR="00DE6BF4">
        <w:rPr>
          <w:rFonts w:hint="eastAsia"/>
          <w:sz w:val="24"/>
        </w:rPr>
        <w:t>住民が、その取消しを求めたもの</w:t>
      </w:r>
      <w:r>
        <w:rPr>
          <w:rFonts w:hint="eastAsia"/>
          <w:sz w:val="24"/>
        </w:rPr>
        <w:t>である</w:t>
      </w:r>
      <w:r w:rsidR="00DE6BF4">
        <w:rPr>
          <w:rFonts w:hint="eastAsia"/>
          <w:sz w:val="24"/>
        </w:rPr>
        <w:t>。</w:t>
      </w:r>
    </w:p>
    <w:p w14:paraId="2419524A" w14:textId="3DCBF01D" w:rsidR="00DE6BF4" w:rsidRPr="00B97B86" w:rsidRDefault="00DE6BF4" w:rsidP="00B97B86">
      <w:pPr>
        <w:pStyle w:val="2"/>
        <w:rPr>
          <w:rFonts w:ascii="ＭＳ ゴシック" w:eastAsia="ＭＳ ゴシック" w:hAnsi="ＭＳ ゴシック" w:cs="Times New Roman"/>
          <w:spacing w:val="2"/>
          <w:kern w:val="0"/>
          <w:szCs w:val="24"/>
        </w:rPr>
      </w:pPr>
      <w:r w:rsidRPr="00B97B86">
        <w:rPr>
          <w:rFonts w:ascii="ＭＳ ゴシック" w:eastAsia="ＭＳ ゴシック" w:hAnsi="ＭＳ ゴシック" w:cs="Times New Roman" w:hint="eastAsia"/>
          <w:spacing w:val="2"/>
          <w:kern w:val="0"/>
          <w:szCs w:val="24"/>
        </w:rPr>
        <w:t xml:space="preserve">　</w:t>
      </w:r>
      <w:bookmarkStart w:id="4" w:name="_Toc136612127"/>
      <w:r w:rsidRPr="00B97B86">
        <w:rPr>
          <w:rFonts w:ascii="ＭＳ ゴシック" w:eastAsia="ＭＳ ゴシック" w:hAnsi="ＭＳ ゴシック" w:cs="Times New Roman" w:hint="eastAsia"/>
          <w:spacing w:val="2"/>
          <w:kern w:val="0"/>
          <w:szCs w:val="24"/>
        </w:rPr>
        <w:t>（２）多数意見の概要</w:t>
      </w:r>
      <w:bookmarkEnd w:id="4"/>
    </w:p>
    <w:p w14:paraId="36DDA8C7" w14:textId="172DD99B" w:rsidR="00DE6BF4" w:rsidRDefault="009C1B44" w:rsidP="009C1B44">
      <w:pPr>
        <w:ind w:leftChars="300" w:left="849" w:firstLineChars="100" w:firstLine="313"/>
        <w:rPr>
          <w:sz w:val="24"/>
        </w:rPr>
      </w:pPr>
      <w:r>
        <w:rPr>
          <w:rFonts w:hint="eastAsia"/>
          <w:sz w:val="24"/>
        </w:rPr>
        <w:t>多数意見は、墓埋法１０条が許可の要件を規定していないことから、「</w:t>
      </w:r>
      <w:r w:rsidRPr="009C1B44">
        <w:rPr>
          <w:rFonts w:hint="eastAsia"/>
          <w:sz w:val="24"/>
        </w:rPr>
        <w:t>それ自体が墓地等の周辺に居住する者個々人の個別的利益をも保護することを目的としているものとは解し難い</w:t>
      </w:r>
      <w:r>
        <w:rPr>
          <w:rFonts w:hint="eastAsia"/>
          <w:sz w:val="24"/>
        </w:rPr>
        <w:t>」としている。</w:t>
      </w:r>
    </w:p>
    <w:p w14:paraId="416C15BE" w14:textId="29A798A4" w:rsidR="009C1B44" w:rsidRDefault="009C1B44" w:rsidP="009C1B44">
      <w:pPr>
        <w:ind w:leftChars="300" w:left="849" w:firstLineChars="100" w:firstLine="313"/>
        <w:rPr>
          <w:sz w:val="24"/>
        </w:rPr>
      </w:pPr>
      <w:r>
        <w:rPr>
          <w:rFonts w:hint="eastAsia"/>
          <w:sz w:val="24"/>
        </w:rPr>
        <w:t>その上で、同法の目的に沿った大阪市細則（以下「細則」という。）８条が「</w:t>
      </w:r>
      <w:r w:rsidRPr="009C1B44">
        <w:rPr>
          <w:rFonts w:hint="eastAsia"/>
          <w:sz w:val="24"/>
        </w:rPr>
        <w:t>墓地等の所在地からおおむね３００ｍ以内の場所に敷地がある人家については、これに居住する者が平穏に日常生活を送る利益を個々の居住者の個別的利益として保護する趣旨を含む規定である</w:t>
      </w:r>
      <w:r>
        <w:rPr>
          <w:rFonts w:hint="eastAsia"/>
          <w:sz w:val="24"/>
        </w:rPr>
        <w:t>」と解した。</w:t>
      </w:r>
    </w:p>
    <w:p w14:paraId="286CEB98" w14:textId="443F065F" w:rsidR="009C1B44" w:rsidRDefault="009C1B44" w:rsidP="009C1B44">
      <w:pPr>
        <w:ind w:leftChars="300" w:left="849" w:firstLineChars="100" w:firstLine="313"/>
        <w:rPr>
          <w:sz w:val="24"/>
        </w:rPr>
      </w:pPr>
      <w:r>
        <w:rPr>
          <w:rFonts w:hint="eastAsia"/>
          <w:sz w:val="24"/>
        </w:rPr>
        <w:t>その結果、墓埋法１０条の規定によりなされた経営等許可については、「当該納骨堂の所在地からおおむね３００ｍ以内の場所に</w:t>
      </w:r>
      <w:r w:rsidRPr="009C1B44">
        <w:rPr>
          <w:rFonts w:hint="eastAsia"/>
          <w:sz w:val="24"/>
        </w:rPr>
        <w:t>敷地がある人家に居住する者は、その取消しを求める原告適格を有する</w:t>
      </w:r>
      <w:r>
        <w:rPr>
          <w:rFonts w:hint="eastAsia"/>
          <w:sz w:val="24"/>
        </w:rPr>
        <w:t>」と判断した。</w:t>
      </w:r>
    </w:p>
    <w:p w14:paraId="6D8ADFD3" w14:textId="218B8FF1" w:rsidR="009C1B44" w:rsidRDefault="009C1B44" w:rsidP="009C1B44">
      <w:pPr>
        <w:ind w:leftChars="300" w:left="849" w:firstLineChars="100" w:firstLine="313"/>
        <w:rPr>
          <w:sz w:val="24"/>
        </w:rPr>
      </w:pPr>
      <w:r>
        <w:rPr>
          <w:rFonts w:hint="eastAsia"/>
          <w:sz w:val="24"/>
        </w:rPr>
        <w:t>なお、第一審が原告適格を否定する主な理由の一つとして掲げた２０００（平成１２）年</w:t>
      </w:r>
      <w:r w:rsidR="00DF25E6">
        <w:rPr>
          <w:rFonts w:hint="eastAsia"/>
          <w:sz w:val="24"/>
        </w:rPr>
        <w:t>判決</w:t>
      </w:r>
      <w:r>
        <w:rPr>
          <w:rFonts w:hint="eastAsia"/>
          <w:sz w:val="24"/>
        </w:rPr>
        <w:t>（以下「</w:t>
      </w:r>
      <w:r w:rsidR="00DF25E6">
        <w:rPr>
          <w:rFonts w:hint="eastAsia"/>
          <w:sz w:val="24"/>
        </w:rPr>
        <w:t>２０００年判決</w:t>
      </w:r>
      <w:r>
        <w:rPr>
          <w:rFonts w:hint="eastAsia"/>
          <w:sz w:val="24"/>
        </w:rPr>
        <w:t>」という。）は、</w:t>
      </w:r>
      <w:r w:rsidR="00A77FEC">
        <w:rPr>
          <w:rFonts w:hint="eastAsia"/>
          <w:sz w:val="24"/>
        </w:rPr>
        <w:t>事案を異にするため本件では適切でないと述べ</w:t>
      </w:r>
      <w:r w:rsidR="00A77FEC">
        <w:rPr>
          <w:rFonts w:hint="eastAsia"/>
          <w:sz w:val="24"/>
        </w:rPr>
        <w:lastRenderedPageBreak/>
        <w:t>た</w:t>
      </w:r>
      <w:r>
        <w:rPr>
          <w:rFonts w:hint="eastAsia"/>
          <w:sz w:val="24"/>
        </w:rPr>
        <w:t>。</w:t>
      </w:r>
    </w:p>
    <w:p w14:paraId="52B64961" w14:textId="77777777" w:rsidR="00DE6BF4" w:rsidRPr="00B97B86" w:rsidRDefault="00DE6BF4" w:rsidP="00B97B86">
      <w:pPr>
        <w:pStyle w:val="2"/>
        <w:rPr>
          <w:rFonts w:ascii="ＭＳ ゴシック" w:eastAsia="ＭＳ ゴシック" w:hAnsi="ＭＳ ゴシック" w:cs="Times New Roman"/>
          <w:spacing w:val="2"/>
          <w:kern w:val="0"/>
          <w:szCs w:val="24"/>
        </w:rPr>
      </w:pPr>
      <w:r w:rsidRPr="00B97B86">
        <w:rPr>
          <w:rFonts w:ascii="ＭＳ ゴシック" w:eastAsia="ＭＳ ゴシック" w:hAnsi="ＭＳ ゴシック" w:cs="Times New Roman" w:hint="eastAsia"/>
          <w:spacing w:val="2"/>
          <w:kern w:val="0"/>
          <w:szCs w:val="24"/>
        </w:rPr>
        <w:t xml:space="preserve">　</w:t>
      </w:r>
      <w:bookmarkStart w:id="5" w:name="_Toc136612128"/>
      <w:r w:rsidRPr="00B97B86">
        <w:rPr>
          <w:rFonts w:ascii="ＭＳ ゴシック" w:eastAsia="ＭＳ ゴシック" w:hAnsi="ＭＳ ゴシック" w:cs="Times New Roman" w:hint="eastAsia"/>
          <w:spacing w:val="2"/>
          <w:kern w:val="0"/>
          <w:szCs w:val="24"/>
        </w:rPr>
        <w:t>（３）林補足意見の概要</w:t>
      </w:r>
      <w:bookmarkEnd w:id="5"/>
    </w:p>
    <w:p w14:paraId="015731D4" w14:textId="3DC5E238" w:rsidR="00DE6BF4" w:rsidRDefault="009C1B44" w:rsidP="0067083E">
      <w:pPr>
        <w:ind w:left="939" w:hangingChars="300" w:hanging="939"/>
        <w:rPr>
          <w:sz w:val="24"/>
        </w:rPr>
      </w:pPr>
      <w:r>
        <w:rPr>
          <w:rFonts w:hint="eastAsia"/>
          <w:sz w:val="24"/>
        </w:rPr>
        <w:t xml:space="preserve">　　　　</w:t>
      </w:r>
      <w:r w:rsidR="0067083E">
        <w:rPr>
          <w:rFonts w:hint="eastAsia"/>
          <w:sz w:val="24"/>
        </w:rPr>
        <w:t>林道晴裁判官は、「</w:t>
      </w:r>
      <w:r w:rsidR="0067083E" w:rsidRPr="0067083E">
        <w:rPr>
          <w:rFonts w:hint="eastAsia"/>
          <w:sz w:val="24"/>
        </w:rPr>
        <w:t>被上告人らの原告適格を肯定するため平成１２年判決を変更する必要がないことの理由は、直接的には、多数意見の指摘するとおり、平成１２年判決で問題となった条例と本件細則８条の規定ぶりが異なることにあるが、実質的にみれば、平成１２年判決が平成１６年法律第８４号による行政事件訴訟法の改正前の事案であることを見逃すことはできない</w:t>
      </w:r>
      <w:r w:rsidR="0067083E">
        <w:rPr>
          <w:rFonts w:hint="eastAsia"/>
          <w:sz w:val="24"/>
        </w:rPr>
        <w:t>」とし、「</w:t>
      </w:r>
      <w:r w:rsidR="0067083E" w:rsidRPr="0067083E">
        <w:rPr>
          <w:rFonts w:hint="eastAsia"/>
          <w:sz w:val="24"/>
        </w:rPr>
        <w:t>第三者の原告適格については、上記改正後は、上記のような同項が追加された趣旨を踏まえ、より柔軟な判断が求められることになったというべきである</w:t>
      </w:r>
      <w:r w:rsidR="0067083E">
        <w:rPr>
          <w:rFonts w:hint="eastAsia"/>
          <w:sz w:val="24"/>
        </w:rPr>
        <w:t>」としている。</w:t>
      </w:r>
    </w:p>
    <w:p w14:paraId="102F9F26" w14:textId="697A9F56" w:rsidR="00DE6BF4" w:rsidRDefault="0067083E" w:rsidP="0067083E">
      <w:pPr>
        <w:ind w:left="939" w:hangingChars="300" w:hanging="939"/>
        <w:rPr>
          <w:sz w:val="24"/>
        </w:rPr>
      </w:pPr>
      <w:r>
        <w:rPr>
          <w:rFonts w:hint="eastAsia"/>
          <w:sz w:val="24"/>
        </w:rPr>
        <w:t xml:space="preserve">　　　　その上で、「</w:t>
      </w:r>
      <w:r w:rsidRPr="0067083E">
        <w:rPr>
          <w:rFonts w:hint="eastAsia"/>
          <w:sz w:val="24"/>
        </w:rPr>
        <w:t>第三者の原告適格については、前記のとおり、行政事件訴訟法９条２項が追加された趣旨を踏まえた適切な判断が求められるところであって、審理を担当する裁判所としては、そのような判断に必要な限度を超えた主張立証が漫然と継続されることのないよう、十分に留意すべきである</w:t>
      </w:r>
      <w:r>
        <w:rPr>
          <w:rFonts w:hint="eastAsia"/>
          <w:sz w:val="24"/>
        </w:rPr>
        <w:t>」として、現在の裁判実務を諫めている。</w:t>
      </w:r>
    </w:p>
    <w:p w14:paraId="0AA97BAE" w14:textId="7ACAD834" w:rsidR="00DE6BF4" w:rsidRPr="00B97B86" w:rsidRDefault="00DE6BF4" w:rsidP="00B97B86">
      <w:pPr>
        <w:pStyle w:val="2"/>
        <w:ind w:firstLineChars="100" w:firstLine="317"/>
        <w:rPr>
          <w:rFonts w:ascii="ＭＳ ゴシック" w:eastAsia="ＭＳ ゴシック" w:hAnsi="ＭＳ ゴシック" w:cs="Times New Roman"/>
          <w:spacing w:val="2"/>
          <w:kern w:val="0"/>
          <w:szCs w:val="24"/>
        </w:rPr>
      </w:pPr>
      <w:bookmarkStart w:id="6" w:name="_Toc136612129"/>
      <w:r w:rsidRPr="00B97B86">
        <w:rPr>
          <w:rFonts w:ascii="ＭＳ ゴシック" w:eastAsia="ＭＳ ゴシック" w:hAnsi="ＭＳ ゴシック" w:cs="Times New Roman" w:hint="eastAsia"/>
          <w:spacing w:val="2"/>
          <w:kern w:val="0"/>
          <w:szCs w:val="24"/>
        </w:rPr>
        <w:t>（４）宇賀意見の概要</w:t>
      </w:r>
      <w:bookmarkEnd w:id="6"/>
    </w:p>
    <w:p w14:paraId="00281418" w14:textId="45EDF81C" w:rsidR="00DE6BF4" w:rsidRDefault="0067083E" w:rsidP="0067083E">
      <w:pPr>
        <w:ind w:left="939" w:hangingChars="300" w:hanging="939"/>
        <w:jc w:val="left"/>
        <w:rPr>
          <w:sz w:val="24"/>
        </w:rPr>
      </w:pPr>
      <w:r>
        <w:rPr>
          <w:rFonts w:hint="eastAsia"/>
          <w:sz w:val="24"/>
        </w:rPr>
        <w:t xml:space="preserve">　　　　宇賀克也裁判官は、そもそも「</w:t>
      </w:r>
      <w:r w:rsidRPr="0067083E">
        <w:rPr>
          <w:rFonts w:hint="eastAsia"/>
          <w:sz w:val="24"/>
        </w:rPr>
        <w:t>法１０条自体が周辺住民の個別的利益を保護して</w:t>
      </w:r>
      <w:r>
        <w:rPr>
          <w:rFonts w:hint="eastAsia"/>
          <w:sz w:val="24"/>
        </w:rPr>
        <w:t>」いるという見解を述べる。</w:t>
      </w:r>
    </w:p>
    <w:p w14:paraId="741E1684" w14:textId="5E9C939D" w:rsidR="0067083E" w:rsidRDefault="0067083E" w:rsidP="0067083E">
      <w:pPr>
        <w:ind w:left="939" w:hangingChars="300" w:hanging="939"/>
        <w:rPr>
          <w:sz w:val="24"/>
        </w:rPr>
      </w:pPr>
      <w:r>
        <w:rPr>
          <w:rFonts w:hint="eastAsia"/>
          <w:sz w:val="24"/>
        </w:rPr>
        <w:t xml:space="preserve">　　　　すなわち、「</w:t>
      </w:r>
      <w:r w:rsidRPr="0067083E">
        <w:rPr>
          <w:rFonts w:hint="eastAsia"/>
          <w:sz w:val="24"/>
        </w:rPr>
        <w:t>法１条の「国民の宗教的感情」について、墓地等の経営が許可されることにより宗教的感情に影響を受けるのは、何よりも周辺住民であり、また、「公衆衛生その他公共の福祉の見地」から支障が生ずるおそれがあるのも、周辺住民である</w:t>
      </w:r>
      <w:r>
        <w:rPr>
          <w:rFonts w:hint="eastAsia"/>
          <w:sz w:val="24"/>
        </w:rPr>
        <w:t>」ことからして、「</w:t>
      </w:r>
      <w:r w:rsidRPr="0067083E">
        <w:rPr>
          <w:rFonts w:hint="eastAsia"/>
          <w:sz w:val="24"/>
        </w:rPr>
        <w:t>法１０条が保護する利益</w:t>
      </w:r>
      <w:r w:rsidRPr="0067083E">
        <w:rPr>
          <w:rFonts w:hint="eastAsia"/>
          <w:sz w:val="24"/>
        </w:rPr>
        <w:lastRenderedPageBreak/>
        <w:t>について公益と称することがあるとしても、それは周辺住民の個別的な利益の集積、総合であって、一般的公益に吸収解消されるものではないのである</w:t>
      </w:r>
      <w:r>
        <w:rPr>
          <w:rFonts w:hint="eastAsia"/>
          <w:sz w:val="24"/>
        </w:rPr>
        <w:t>」という見解を述べている。</w:t>
      </w:r>
    </w:p>
    <w:p w14:paraId="70997A50" w14:textId="4209ED8D" w:rsidR="0067083E" w:rsidRDefault="0067083E" w:rsidP="00FC19AA">
      <w:pPr>
        <w:ind w:left="939" w:hangingChars="300" w:hanging="939"/>
        <w:rPr>
          <w:sz w:val="24"/>
        </w:rPr>
      </w:pPr>
      <w:r>
        <w:rPr>
          <w:rFonts w:hint="eastAsia"/>
          <w:sz w:val="24"/>
        </w:rPr>
        <w:t xml:space="preserve">　　　　</w:t>
      </w:r>
      <w:r w:rsidR="00B236FF">
        <w:rPr>
          <w:rFonts w:hint="eastAsia"/>
          <w:sz w:val="24"/>
        </w:rPr>
        <w:t>なお</w:t>
      </w:r>
      <w:r w:rsidR="00FC19AA">
        <w:rPr>
          <w:rFonts w:hint="eastAsia"/>
          <w:sz w:val="24"/>
        </w:rPr>
        <w:t>、</w:t>
      </w:r>
      <w:r>
        <w:rPr>
          <w:rFonts w:hint="eastAsia"/>
          <w:sz w:val="24"/>
        </w:rPr>
        <w:t>同意見は</w:t>
      </w:r>
      <w:r w:rsidRPr="0067083E">
        <w:rPr>
          <w:rFonts w:hint="eastAsia"/>
          <w:sz w:val="24"/>
        </w:rPr>
        <w:t>、</w:t>
      </w:r>
      <w:r>
        <w:rPr>
          <w:rFonts w:hint="eastAsia"/>
          <w:sz w:val="24"/>
        </w:rPr>
        <w:t>「</w:t>
      </w:r>
      <w:r w:rsidRPr="0067083E">
        <w:rPr>
          <w:rFonts w:hint="eastAsia"/>
          <w:sz w:val="24"/>
        </w:rPr>
        <w:t>墓地等の公益性は、本案の判断に当たって考慮要素になるものの、誰が許可処分を争うことができるかという原告適格の判断で問題になる公益とは異なるものである</w:t>
      </w:r>
      <w:r>
        <w:rPr>
          <w:rFonts w:hint="eastAsia"/>
          <w:sz w:val="24"/>
        </w:rPr>
        <w:t>」としている。</w:t>
      </w:r>
      <w:r w:rsidR="00FC19AA">
        <w:rPr>
          <w:sz w:val="24"/>
        </w:rPr>
        <w:br/>
      </w:r>
      <w:r w:rsidR="00FC19AA">
        <w:rPr>
          <w:rFonts w:hint="eastAsia"/>
          <w:sz w:val="24"/>
        </w:rPr>
        <w:t xml:space="preserve">　</w:t>
      </w:r>
      <w:r>
        <w:rPr>
          <w:rFonts w:hint="eastAsia"/>
          <w:sz w:val="24"/>
        </w:rPr>
        <w:t>これは、①</w:t>
      </w:r>
      <w:r w:rsidRPr="0067083E">
        <w:rPr>
          <w:rFonts w:hint="eastAsia"/>
          <w:sz w:val="24"/>
        </w:rPr>
        <w:t>埋葬施設が人間社会に必須の施設であ</w:t>
      </w:r>
      <w:r>
        <w:rPr>
          <w:rFonts w:hint="eastAsia"/>
          <w:sz w:val="24"/>
        </w:rPr>
        <w:t>ることから</w:t>
      </w:r>
      <w:r w:rsidRPr="0067083E">
        <w:rPr>
          <w:rFonts w:hint="eastAsia"/>
          <w:sz w:val="24"/>
        </w:rPr>
        <w:t>、その立地に公益性があると</w:t>
      </w:r>
      <w:r>
        <w:rPr>
          <w:rFonts w:hint="eastAsia"/>
          <w:sz w:val="24"/>
        </w:rPr>
        <w:t>いう意味における</w:t>
      </w:r>
      <w:r w:rsidR="00FC19AA">
        <w:rPr>
          <w:rFonts w:hint="eastAsia"/>
          <w:sz w:val="24"/>
        </w:rPr>
        <w:t>「</w:t>
      </w:r>
      <w:r w:rsidRPr="0067083E">
        <w:rPr>
          <w:rFonts w:hint="eastAsia"/>
          <w:sz w:val="24"/>
        </w:rPr>
        <w:t>公益</w:t>
      </w:r>
      <w:r w:rsidR="00FC19AA">
        <w:rPr>
          <w:rFonts w:hint="eastAsia"/>
          <w:sz w:val="24"/>
        </w:rPr>
        <w:t>」</w:t>
      </w:r>
      <w:r w:rsidRPr="0067083E">
        <w:rPr>
          <w:rFonts w:hint="eastAsia"/>
          <w:sz w:val="24"/>
        </w:rPr>
        <w:t>と、</w:t>
      </w:r>
      <w:r>
        <w:rPr>
          <w:rFonts w:hint="eastAsia"/>
          <w:sz w:val="24"/>
        </w:rPr>
        <w:t>②</w:t>
      </w:r>
      <w:r w:rsidRPr="0067083E">
        <w:rPr>
          <w:rFonts w:hint="eastAsia"/>
          <w:sz w:val="24"/>
        </w:rPr>
        <w:t>埋葬施設が</w:t>
      </w:r>
      <w:r w:rsidR="00FC19AA">
        <w:rPr>
          <w:rFonts w:hint="eastAsia"/>
          <w:sz w:val="24"/>
        </w:rPr>
        <w:t>もたらす</w:t>
      </w:r>
      <w:r w:rsidRPr="0067083E">
        <w:rPr>
          <w:rFonts w:hint="eastAsia"/>
          <w:sz w:val="24"/>
        </w:rPr>
        <w:t>周辺への悪影響</w:t>
      </w:r>
      <w:r w:rsidR="00FC19AA">
        <w:rPr>
          <w:rFonts w:hint="eastAsia"/>
          <w:sz w:val="24"/>
        </w:rPr>
        <w:t>（いわゆる、「負の外部性」ないし「外部不経済」）</w:t>
      </w:r>
      <w:r w:rsidR="00B236FF">
        <w:rPr>
          <w:rFonts w:hint="eastAsia"/>
          <w:sz w:val="24"/>
        </w:rPr>
        <w:t>から保護されることを想定されている</w:t>
      </w:r>
      <w:r w:rsidR="00FC19AA">
        <w:rPr>
          <w:rFonts w:hint="eastAsia"/>
          <w:sz w:val="24"/>
        </w:rPr>
        <w:t>周辺住民</w:t>
      </w:r>
      <w:r w:rsidR="00717D53">
        <w:rPr>
          <w:rFonts w:hint="eastAsia"/>
          <w:sz w:val="24"/>
        </w:rPr>
        <w:t>等</w:t>
      </w:r>
      <w:r w:rsidR="00FC19AA">
        <w:rPr>
          <w:rFonts w:hint="eastAsia"/>
          <w:sz w:val="24"/>
        </w:rPr>
        <w:t>の個別的な利益の集積、総合の意味における</w:t>
      </w:r>
      <w:r w:rsidR="00B236FF">
        <w:rPr>
          <w:rFonts w:hint="eastAsia"/>
          <w:sz w:val="24"/>
        </w:rPr>
        <w:t>「</w:t>
      </w:r>
      <w:r w:rsidR="00FC19AA">
        <w:rPr>
          <w:rFonts w:hint="eastAsia"/>
          <w:sz w:val="24"/>
        </w:rPr>
        <w:t>公益</w:t>
      </w:r>
      <w:r w:rsidR="00B236FF">
        <w:rPr>
          <w:rFonts w:hint="eastAsia"/>
          <w:sz w:val="24"/>
        </w:rPr>
        <w:t>」</w:t>
      </w:r>
      <w:r w:rsidR="00FC19AA">
        <w:rPr>
          <w:rFonts w:hint="eastAsia"/>
          <w:sz w:val="24"/>
        </w:rPr>
        <w:t>とを区別すべきであることを指摘するものである。</w:t>
      </w:r>
    </w:p>
    <w:p w14:paraId="53030307" w14:textId="7D23892F" w:rsidR="00DE6BF4" w:rsidRDefault="00B236FF" w:rsidP="00B236FF">
      <w:pPr>
        <w:ind w:left="939" w:hangingChars="300" w:hanging="939"/>
        <w:rPr>
          <w:sz w:val="24"/>
        </w:rPr>
      </w:pPr>
      <w:r>
        <w:rPr>
          <w:rFonts w:hint="eastAsia"/>
          <w:sz w:val="24"/>
        </w:rPr>
        <w:t xml:space="preserve">　　　　このような観点から、宇賀意見は、</w:t>
      </w:r>
      <w:r w:rsidR="00DF25E6">
        <w:rPr>
          <w:rFonts w:hint="eastAsia"/>
          <w:sz w:val="24"/>
        </w:rPr>
        <w:t>２０００年判決</w:t>
      </w:r>
      <w:r>
        <w:rPr>
          <w:rFonts w:hint="eastAsia"/>
          <w:sz w:val="24"/>
        </w:rPr>
        <w:t>について「</w:t>
      </w:r>
      <w:r w:rsidRPr="00B236FF">
        <w:rPr>
          <w:rFonts w:hint="eastAsia"/>
          <w:sz w:val="24"/>
        </w:rPr>
        <w:t>法令の文言の形式的解釈に拘泥し紛争の実質を考慮していないものといわざるを得ず、取り分け平成１６年法律第８４号による改正後の行政事件訴訟法９条２項により「当該処分又は裁決の根拠となる法令の規定の文言のみによることなく」解釈することが義務付けられた現在においては、変更を免れないものと考えられる</w:t>
      </w:r>
      <w:r>
        <w:rPr>
          <w:rFonts w:hint="eastAsia"/>
          <w:sz w:val="24"/>
        </w:rPr>
        <w:t>」と指摘している。</w:t>
      </w:r>
      <w:r>
        <w:rPr>
          <w:sz w:val="24"/>
        </w:rPr>
        <w:br/>
      </w:r>
      <w:r>
        <w:rPr>
          <w:rFonts w:hint="eastAsia"/>
          <w:sz w:val="24"/>
        </w:rPr>
        <w:t xml:space="preserve">　以上を前提に、宇賀意見は「</w:t>
      </w:r>
      <w:r w:rsidRPr="00B236FF">
        <w:rPr>
          <w:rFonts w:hint="eastAsia"/>
          <w:sz w:val="24"/>
        </w:rPr>
        <w:t>原告適格が認められる者の範囲は、詳細な主張立証を経ることなく簡明な方法で判定すべきであるから、その判断に当たっては、各地方公共団体の条例、規則、要綱の定めを参考にすべきである</w:t>
      </w:r>
      <w:r>
        <w:rPr>
          <w:rFonts w:hint="eastAsia"/>
          <w:sz w:val="24"/>
        </w:rPr>
        <w:t>」との観点から、細則８条をあくまでも参考とするものとして、３００ｍ以内</w:t>
      </w:r>
      <w:r>
        <w:rPr>
          <w:rFonts w:hint="eastAsia"/>
          <w:sz w:val="24"/>
        </w:rPr>
        <w:lastRenderedPageBreak/>
        <w:t>の居住者については、原告適格を有すると結論付けている。</w:t>
      </w:r>
    </w:p>
    <w:p w14:paraId="6DABB2DF" w14:textId="50CA58A0" w:rsidR="00DE6BF4" w:rsidRPr="00B97B86" w:rsidRDefault="00DE6BF4" w:rsidP="00B97B86">
      <w:pPr>
        <w:pStyle w:val="2"/>
        <w:ind w:firstLineChars="100" w:firstLine="317"/>
        <w:rPr>
          <w:rFonts w:ascii="ＭＳ ゴシック" w:eastAsia="ＭＳ ゴシック" w:hAnsi="ＭＳ ゴシック" w:cs="Times New Roman"/>
          <w:spacing w:val="2"/>
          <w:kern w:val="0"/>
          <w:szCs w:val="24"/>
        </w:rPr>
      </w:pPr>
      <w:bookmarkStart w:id="7" w:name="_Toc136612130"/>
      <w:r w:rsidRPr="00B97B86">
        <w:rPr>
          <w:rFonts w:ascii="ＭＳ ゴシック" w:eastAsia="ＭＳ ゴシック" w:hAnsi="ＭＳ ゴシック" w:cs="Times New Roman" w:hint="eastAsia"/>
          <w:spacing w:val="2"/>
          <w:kern w:val="0"/>
          <w:szCs w:val="24"/>
        </w:rPr>
        <w:t xml:space="preserve">２　</w:t>
      </w:r>
      <w:r w:rsidR="00602097" w:rsidRPr="00B97B86">
        <w:rPr>
          <w:rFonts w:ascii="ＭＳ ゴシック" w:eastAsia="ＭＳ ゴシック" w:hAnsi="ＭＳ ゴシック" w:cs="Times New Roman" w:hint="eastAsia"/>
          <w:spacing w:val="2"/>
          <w:kern w:val="0"/>
          <w:szCs w:val="24"/>
        </w:rPr>
        <w:t>最新判例</w:t>
      </w:r>
      <w:r w:rsidR="006A7E94" w:rsidRPr="00B97B86">
        <w:rPr>
          <w:rFonts w:ascii="ＭＳ ゴシック" w:eastAsia="ＭＳ ゴシック" w:hAnsi="ＭＳ ゴシック" w:cs="Times New Roman" w:hint="eastAsia"/>
          <w:spacing w:val="2"/>
          <w:kern w:val="0"/>
          <w:szCs w:val="24"/>
        </w:rPr>
        <w:t>の意義</w:t>
      </w:r>
      <w:r w:rsidR="00B236FF" w:rsidRPr="00B97B86">
        <w:rPr>
          <w:rFonts w:ascii="ＭＳ ゴシック" w:eastAsia="ＭＳ ゴシック" w:hAnsi="ＭＳ ゴシック" w:cs="Times New Roman" w:hint="eastAsia"/>
          <w:spacing w:val="2"/>
          <w:kern w:val="0"/>
          <w:szCs w:val="24"/>
        </w:rPr>
        <w:t>について</w:t>
      </w:r>
      <w:bookmarkEnd w:id="7"/>
    </w:p>
    <w:p w14:paraId="0EFB7534" w14:textId="703E8FFB" w:rsidR="00B236FF" w:rsidRPr="00B97B86" w:rsidRDefault="00DE6BF4" w:rsidP="00B97B86">
      <w:pPr>
        <w:pStyle w:val="2"/>
        <w:ind w:firstLineChars="100" w:firstLine="317"/>
        <w:rPr>
          <w:rFonts w:ascii="ＭＳ ゴシック" w:eastAsia="ＭＳ ゴシック" w:hAnsi="ＭＳ ゴシック" w:cs="Times New Roman"/>
          <w:spacing w:val="2"/>
          <w:kern w:val="0"/>
          <w:szCs w:val="24"/>
        </w:rPr>
      </w:pPr>
      <w:bookmarkStart w:id="8" w:name="_Toc136612131"/>
      <w:r w:rsidRPr="00B97B86">
        <w:rPr>
          <w:rFonts w:ascii="ＭＳ ゴシック" w:eastAsia="ＭＳ ゴシック" w:hAnsi="ＭＳ ゴシック" w:cs="Times New Roman" w:hint="eastAsia"/>
          <w:spacing w:val="2"/>
          <w:kern w:val="0"/>
          <w:szCs w:val="24"/>
        </w:rPr>
        <w:t>（１）</w:t>
      </w:r>
      <w:r w:rsidR="00441DFD" w:rsidRPr="00B97B86">
        <w:rPr>
          <w:rFonts w:ascii="ＭＳ ゴシック" w:eastAsia="ＭＳ ゴシック" w:hAnsi="ＭＳ ゴシック" w:cs="Times New Roman" w:hint="eastAsia"/>
          <w:spacing w:val="2"/>
          <w:kern w:val="0"/>
          <w:szCs w:val="24"/>
        </w:rPr>
        <w:t>法令の文言の形式的解釈に拘泥</w:t>
      </w:r>
      <w:r w:rsidR="00DF25E6" w:rsidRPr="00B97B86">
        <w:rPr>
          <w:rFonts w:ascii="ＭＳ ゴシック" w:eastAsia="ＭＳ ゴシック" w:hAnsi="ＭＳ ゴシック" w:cs="Times New Roman" w:hint="eastAsia"/>
          <w:spacing w:val="2"/>
          <w:kern w:val="0"/>
          <w:szCs w:val="24"/>
        </w:rPr>
        <w:t>しなかったこと</w:t>
      </w:r>
      <w:bookmarkEnd w:id="8"/>
    </w:p>
    <w:p w14:paraId="3201D473" w14:textId="03FF0F0F" w:rsidR="00B236FF" w:rsidRDefault="00DF25E6" w:rsidP="00DF25E6">
      <w:pPr>
        <w:ind w:leftChars="100" w:left="909" w:hangingChars="200" w:hanging="626"/>
        <w:jc w:val="left"/>
        <w:rPr>
          <w:sz w:val="24"/>
        </w:rPr>
      </w:pPr>
      <w:r>
        <w:rPr>
          <w:rFonts w:hint="eastAsia"/>
          <w:sz w:val="24"/>
        </w:rPr>
        <w:t xml:space="preserve">　</w:t>
      </w:r>
      <w:r w:rsidR="000F6D41">
        <w:rPr>
          <w:rFonts w:hint="eastAsia"/>
          <w:sz w:val="24"/>
        </w:rPr>
        <w:t>ア</w:t>
      </w:r>
      <w:r>
        <w:rPr>
          <w:rFonts w:hint="eastAsia"/>
          <w:sz w:val="24"/>
        </w:rPr>
        <w:t xml:space="preserve">　上記のとおり、</w:t>
      </w:r>
      <w:r w:rsidR="00602097">
        <w:rPr>
          <w:rFonts w:hint="eastAsia"/>
          <w:sz w:val="24"/>
        </w:rPr>
        <w:t>最新判例</w:t>
      </w:r>
      <w:r>
        <w:rPr>
          <w:rFonts w:hint="eastAsia"/>
          <w:sz w:val="24"/>
        </w:rPr>
        <w:t>では、多数意見の他に、補足意見、意見が付されたが、全ての</w:t>
      </w:r>
      <w:r w:rsidR="004C72E3">
        <w:rPr>
          <w:rFonts w:hint="eastAsia"/>
          <w:sz w:val="24"/>
        </w:rPr>
        <w:t>裁判官</w:t>
      </w:r>
      <w:r>
        <w:rPr>
          <w:rFonts w:hint="eastAsia"/>
          <w:sz w:val="24"/>
        </w:rPr>
        <w:t>において共通しているのは、</w:t>
      </w:r>
      <w:r w:rsidR="00CD1215">
        <w:rPr>
          <w:rFonts w:hint="eastAsia"/>
          <w:sz w:val="24"/>
        </w:rPr>
        <w:t>法令の文言の形式的解釈に拘泥しなかった結果、</w:t>
      </w:r>
      <w:r>
        <w:rPr>
          <w:rFonts w:hint="eastAsia"/>
          <w:sz w:val="24"/>
        </w:rPr>
        <w:t>２０００年判決</w:t>
      </w:r>
      <w:r w:rsidR="00382944">
        <w:rPr>
          <w:rFonts w:hint="eastAsia"/>
          <w:sz w:val="24"/>
        </w:rPr>
        <w:t>の結論</w:t>
      </w:r>
      <w:r>
        <w:rPr>
          <w:rFonts w:hint="eastAsia"/>
          <w:sz w:val="24"/>
        </w:rPr>
        <w:t>に</w:t>
      </w:r>
      <w:r w:rsidR="00441DFD">
        <w:rPr>
          <w:rFonts w:hint="eastAsia"/>
          <w:sz w:val="24"/>
        </w:rPr>
        <w:t>与しなかった</w:t>
      </w:r>
      <w:r>
        <w:rPr>
          <w:rFonts w:hint="eastAsia"/>
          <w:sz w:val="24"/>
        </w:rPr>
        <w:t>という点である。</w:t>
      </w:r>
    </w:p>
    <w:p w14:paraId="4F49FEB1" w14:textId="53D0C1FA" w:rsidR="00DF25E6" w:rsidRDefault="00DF25E6" w:rsidP="004C72E3">
      <w:pPr>
        <w:ind w:leftChars="100" w:left="909" w:hangingChars="200" w:hanging="626"/>
        <w:jc w:val="left"/>
        <w:rPr>
          <w:sz w:val="24"/>
        </w:rPr>
      </w:pPr>
      <w:r>
        <w:rPr>
          <w:rFonts w:hint="eastAsia"/>
          <w:sz w:val="24"/>
        </w:rPr>
        <w:t xml:space="preserve">　　　</w:t>
      </w:r>
      <w:r w:rsidR="00CD1215">
        <w:rPr>
          <w:rFonts w:hint="eastAsia"/>
          <w:sz w:val="24"/>
        </w:rPr>
        <w:t>これは</w:t>
      </w:r>
      <w:r w:rsidR="004C72E3">
        <w:rPr>
          <w:rFonts w:hint="eastAsia"/>
          <w:sz w:val="24"/>
        </w:rPr>
        <w:t>、全ての裁判官が、改正行訴法９条２項に言及し</w:t>
      </w:r>
      <w:r w:rsidR="00CD1215">
        <w:rPr>
          <w:rFonts w:hint="eastAsia"/>
          <w:sz w:val="24"/>
        </w:rPr>
        <w:t>ていることが関係している</w:t>
      </w:r>
      <w:r w:rsidR="004C72E3">
        <w:rPr>
          <w:rFonts w:hint="eastAsia"/>
          <w:sz w:val="24"/>
        </w:rPr>
        <w:t>。</w:t>
      </w:r>
    </w:p>
    <w:p w14:paraId="3BCEDEC0" w14:textId="0A4437F5" w:rsidR="000F6D41" w:rsidRDefault="00441DFD" w:rsidP="000F6D41">
      <w:pPr>
        <w:ind w:leftChars="100" w:left="909" w:hangingChars="200" w:hanging="626"/>
        <w:jc w:val="left"/>
        <w:rPr>
          <w:sz w:val="24"/>
        </w:rPr>
      </w:pPr>
      <w:r>
        <w:rPr>
          <w:rFonts w:hint="eastAsia"/>
          <w:sz w:val="24"/>
        </w:rPr>
        <w:t xml:space="preserve">　</w:t>
      </w:r>
      <w:r w:rsidR="000F6D41">
        <w:rPr>
          <w:rFonts w:hint="eastAsia"/>
          <w:sz w:val="24"/>
        </w:rPr>
        <w:t xml:space="preserve">　</w:t>
      </w:r>
      <w:r>
        <w:rPr>
          <w:rFonts w:hint="eastAsia"/>
          <w:sz w:val="24"/>
        </w:rPr>
        <w:t xml:space="preserve">　具体的にいえば、</w:t>
      </w:r>
      <w:r w:rsidR="00CD1215">
        <w:rPr>
          <w:rFonts w:hint="eastAsia"/>
          <w:sz w:val="24"/>
        </w:rPr>
        <w:t>最新判例で</w:t>
      </w:r>
      <w:r w:rsidRPr="00441DFD">
        <w:rPr>
          <w:rFonts w:hint="eastAsia"/>
          <w:sz w:val="24"/>
        </w:rPr>
        <w:t>重要な点は、</w:t>
      </w:r>
      <w:r w:rsidR="00CD1215">
        <w:rPr>
          <w:rFonts w:hint="eastAsia"/>
          <w:sz w:val="24"/>
        </w:rPr>
        <w:t>墓埋法１０条</w:t>
      </w:r>
      <w:r w:rsidRPr="00441DFD">
        <w:rPr>
          <w:rFonts w:hint="eastAsia"/>
          <w:sz w:val="24"/>
        </w:rPr>
        <w:t>のみを切り取って、「同法１０条の目的」という形で</w:t>
      </w:r>
      <w:r w:rsidR="00CD1215">
        <w:rPr>
          <w:rFonts w:hint="eastAsia"/>
          <w:sz w:val="24"/>
        </w:rPr>
        <w:t>法の</w:t>
      </w:r>
      <w:r w:rsidRPr="00441DFD">
        <w:rPr>
          <w:rFonts w:hint="eastAsia"/>
          <w:sz w:val="24"/>
        </w:rPr>
        <w:t>目的を限定</w:t>
      </w:r>
      <w:r w:rsidR="00CD1215">
        <w:rPr>
          <w:rFonts w:hint="eastAsia"/>
          <w:sz w:val="24"/>
        </w:rPr>
        <w:t>したのではなかったという点である</w:t>
      </w:r>
      <w:r w:rsidRPr="00441DFD">
        <w:rPr>
          <w:rFonts w:hint="eastAsia"/>
          <w:sz w:val="24"/>
        </w:rPr>
        <w:t>。</w:t>
      </w:r>
    </w:p>
    <w:p w14:paraId="2C5A13EB" w14:textId="76235B10" w:rsidR="000F6D41" w:rsidRDefault="000F6D41" w:rsidP="000F6D41">
      <w:pPr>
        <w:ind w:leftChars="300" w:left="849"/>
        <w:jc w:val="left"/>
        <w:rPr>
          <w:sz w:val="24"/>
        </w:rPr>
      </w:pPr>
      <w:r>
        <w:rPr>
          <w:rFonts w:hint="eastAsia"/>
          <w:sz w:val="24"/>
        </w:rPr>
        <w:t xml:space="preserve">　</w:t>
      </w:r>
      <w:r w:rsidR="00CD1215">
        <w:rPr>
          <w:rFonts w:hint="eastAsia"/>
          <w:sz w:val="24"/>
        </w:rPr>
        <w:t>いうまでもなく、</w:t>
      </w:r>
      <w:r w:rsidR="00441DFD" w:rsidRPr="00441DFD">
        <w:rPr>
          <w:rFonts w:hint="eastAsia"/>
          <w:sz w:val="24"/>
        </w:rPr>
        <w:t>いかなる法にも、その法そのものが</w:t>
      </w:r>
      <w:r w:rsidR="00CD1215">
        <w:rPr>
          <w:rFonts w:hint="eastAsia"/>
          <w:sz w:val="24"/>
        </w:rPr>
        <w:t>意図している</w:t>
      </w:r>
      <w:r w:rsidR="00441DFD" w:rsidRPr="00441DFD">
        <w:rPr>
          <w:rFonts w:hint="eastAsia"/>
          <w:sz w:val="24"/>
        </w:rPr>
        <w:t>目的が存在する。</w:t>
      </w:r>
    </w:p>
    <w:p w14:paraId="026E7168" w14:textId="77777777" w:rsidR="000F6D41" w:rsidRDefault="00441DFD" w:rsidP="000F6D41">
      <w:pPr>
        <w:ind w:leftChars="300" w:left="849" w:firstLineChars="100" w:firstLine="313"/>
        <w:jc w:val="left"/>
        <w:rPr>
          <w:sz w:val="24"/>
        </w:rPr>
      </w:pPr>
      <w:r w:rsidRPr="00441DFD">
        <w:rPr>
          <w:rFonts w:hint="eastAsia"/>
          <w:sz w:val="24"/>
        </w:rPr>
        <w:t>最新判例は、「</w:t>
      </w:r>
      <w:r w:rsidR="00CD1215">
        <w:rPr>
          <w:rFonts w:hint="eastAsia"/>
          <w:sz w:val="24"/>
        </w:rPr>
        <w:t>墓埋法１０条</w:t>
      </w:r>
      <w:r w:rsidRPr="00441DFD">
        <w:rPr>
          <w:rFonts w:hint="eastAsia"/>
          <w:sz w:val="24"/>
        </w:rPr>
        <w:t>の目的」を考慮したのではなく、「同法</w:t>
      </w:r>
      <w:r w:rsidR="00CD1215">
        <w:rPr>
          <w:rFonts w:hint="eastAsia"/>
          <w:sz w:val="24"/>
        </w:rPr>
        <w:t>自体</w:t>
      </w:r>
      <w:r w:rsidRPr="00441DFD">
        <w:rPr>
          <w:rFonts w:hint="eastAsia"/>
          <w:sz w:val="24"/>
        </w:rPr>
        <w:t>の目的（</w:t>
      </w:r>
      <w:r w:rsidR="00CD1215">
        <w:rPr>
          <w:rFonts w:hint="eastAsia"/>
          <w:sz w:val="24"/>
        </w:rPr>
        <w:t>墓埋法</w:t>
      </w:r>
      <w:r w:rsidRPr="00441DFD">
        <w:rPr>
          <w:rFonts w:hint="eastAsia"/>
          <w:sz w:val="24"/>
        </w:rPr>
        <w:t>１条）」を考慮し</w:t>
      </w:r>
      <w:r w:rsidR="00CD1215">
        <w:rPr>
          <w:rFonts w:hint="eastAsia"/>
          <w:sz w:val="24"/>
        </w:rPr>
        <w:t>た</w:t>
      </w:r>
      <w:r w:rsidRPr="00441DFD">
        <w:rPr>
          <w:rFonts w:hint="eastAsia"/>
          <w:sz w:val="24"/>
        </w:rPr>
        <w:t>のであって、このような解釈こそが、改正行訴法９条２項が求める「当該処分の根拠となる法令の規定の文言のみによることなく、当該法令の趣旨及び目的並びに当該処分において考慮されるべき利益の内容及び性質を考慮」することであるということを、端的に示している。</w:t>
      </w:r>
    </w:p>
    <w:p w14:paraId="1F139657" w14:textId="1B220033" w:rsidR="004C72E3" w:rsidRDefault="00441DFD" w:rsidP="000F6D41">
      <w:pPr>
        <w:ind w:leftChars="300" w:left="849" w:firstLineChars="100" w:firstLine="313"/>
        <w:jc w:val="left"/>
        <w:rPr>
          <w:sz w:val="24"/>
        </w:rPr>
      </w:pPr>
      <w:r w:rsidRPr="00441DFD">
        <w:rPr>
          <w:rFonts w:hint="eastAsia"/>
          <w:sz w:val="24"/>
        </w:rPr>
        <w:t>このような最新判例の判断は、</w:t>
      </w:r>
      <w:r w:rsidR="00CD1215" w:rsidRPr="00441DFD">
        <w:rPr>
          <w:rFonts w:hint="eastAsia"/>
          <w:sz w:val="24"/>
        </w:rPr>
        <w:t>改正行訴法９条２項</w:t>
      </w:r>
      <w:r w:rsidR="00CD1215">
        <w:rPr>
          <w:rFonts w:hint="eastAsia"/>
          <w:sz w:val="24"/>
        </w:rPr>
        <w:t>の下では、</w:t>
      </w:r>
      <w:r w:rsidRPr="00441DFD">
        <w:rPr>
          <w:rFonts w:hint="eastAsia"/>
          <w:sz w:val="24"/>
        </w:rPr>
        <w:t>およそ同一の法令内部</w:t>
      </w:r>
      <w:r w:rsidR="00CD1215">
        <w:rPr>
          <w:rFonts w:hint="eastAsia"/>
          <w:sz w:val="24"/>
        </w:rPr>
        <w:t>で</w:t>
      </w:r>
      <w:r w:rsidRPr="00441DFD">
        <w:rPr>
          <w:rFonts w:hint="eastAsia"/>
          <w:sz w:val="24"/>
        </w:rPr>
        <w:t>「趣旨及び目的」を異にする定めは存在し得ないという判断を示したものであって、例えば、「墓埋法１０条の目的と</w:t>
      </w:r>
      <w:r w:rsidR="00CD1215">
        <w:rPr>
          <w:rFonts w:hint="eastAsia"/>
          <w:sz w:val="24"/>
        </w:rPr>
        <w:t>、</w:t>
      </w:r>
      <w:r w:rsidRPr="00441DFD">
        <w:rPr>
          <w:rFonts w:hint="eastAsia"/>
          <w:sz w:val="24"/>
        </w:rPr>
        <w:t>墓埋法１１条の目的は異なる」だとか、「墓埋法１０条１項の目的と</w:t>
      </w:r>
      <w:r w:rsidR="00CD1215">
        <w:rPr>
          <w:rFonts w:hint="eastAsia"/>
          <w:sz w:val="24"/>
        </w:rPr>
        <w:t>、</w:t>
      </w:r>
      <w:r w:rsidRPr="00441DFD">
        <w:rPr>
          <w:rFonts w:hint="eastAsia"/>
          <w:sz w:val="24"/>
        </w:rPr>
        <w:t>墓埋法１０条２項の目的</w:t>
      </w:r>
      <w:r w:rsidRPr="00441DFD">
        <w:rPr>
          <w:rFonts w:hint="eastAsia"/>
          <w:sz w:val="24"/>
        </w:rPr>
        <w:lastRenderedPageBreak/>
        <w:t>は異なる」という判断は、およそ改正行訴法９条２項の解釈適用としてはあり得ないことを</w:t>
      </w:r>
      <w:r w:rsidR="00CD1215">
        <w:rPr>
          <w:rFonts w:hint="eastAsia"/>
          <w:sz w:val="24"/>
        </w:rPr>
        <w:t>端点に示しているのである</w:t>
      </w:r>
      <w:r w:rsidRPr="00441DFD">
        <w:rPr>
          <w:rFonts w:hint="eastAsia"/>
          <w:sz w:val="24"/>
        </w:rPr>
        <w:t>。</w:t>
      </w:r>
    </w:p>
    <w:p w14:paraId="0F4B8360" w14:textId="43281BE2" w:rsidR="000F6D41" w:rsidRDefault="000F6D41" w:rsidP="009D64DC">
      <w:pPr>
        <w:ind w:leftChars="200" w:left="879" w:hangingChars="100" w:hanging="313"/>
        <w:jc w:val="left"/>
        <w:rPr>
          <w:sz w:val="24"/>
        </w:rPr>
      </w:pPr>
      <w:r>
        <w:rPr>
          <w:rFonts w:hint="eastAsia"/>
          <w:sz w:val="24"/>
        </w:rPr>
        <w:t xml:space="preserve">イ　</w:t>
      </w:r>
      <w:r w:rsidR="00D52C71">
        <w:rPr>
          <w:rFonts w:hint="eastAsia"/>
          <w:sz w:val="24"/>
        </w:rPr>
        <w:t>改正行訴法９条２項の存在意義については、</w:t>
      </w:r>
      <w:r w:rsidR="00343955">
        <w:rPr>
          <w:rFonts w:hint="eastAsia"/>
          <w:sz w:val="24"/>
        </w:rPr>
        <w:t>長年</w:t>
      </w:r>
      <w:r>
        <w:rPr>
          <w:rFonts w:hint="eastAsia"/>
          <w:sz w:val="24"/>
        </w:rPr>
        <w:t>裁判官</w:t>
      </w:r>
      <w:r w:rsidR="00343955">
        <w:rPr>
          <w:rFonts w:hint="eastAsia"/>
          <w:sz w:val="24"/>
        </w:rPr>
        <w:t>を経験し</w:t>
      </w:r>
      <w:r w:rsidR="00A67BEE">
        <w:rPr>
          <w:rFonts w:hint="eastAsia"/>
          <w:sz w:val="24"/>
        </w:rPr>
        <w:t>最高裁判事</w:t>
      </w:r>
      <w:r w:rsidR="00343955">
        <w:rPr>
          <w:rFonts w:hint="eastAsia"/>
          <w:sz w:val="24"/>
        </w:rPr>
        <w:t>となった</w:t>
      </w:r>
      <w:r w:rsidRPr="000F6D41">
        <w:rPr>
          <w:rFonts w:hint="eastAsia"/>
          <w:sz w:val="24"/>
        </w:rPr>
        <w:t>林</w:t>
      </w:r>
      <w:r>
        <w:rPr>
          <w:rFonts w:hint="eastAsia"/>
          <w:sz w:val="24"/>
        </w:rPr>
        <w:t>裁判官</w:t>
      </w:r>
      <w:r w:rsidR="009D64DC">
        <w:rPr>
          <w:rFonts w:hint="eastAsia"/>
          <w:sz w:val="24"/>
        </w:rPr>
        <w:t>が</w:t>
      </w:r>
      <w:r>
        <w:rPr>
          <w:rFonts w:hint="eastAsia"/>
          <w:sz w:val="24"/>
        </w:rPr>
        <w:t>補足</w:t>
      </w:r>
      <w:r w:rsidRPr="000F6D41">
        <w:rPr>
          <w:rFonts w:hint="eastAsia"/>
          <w:sz w:val="24"/>
        </w:rPr>
        <w:t>意見</w:t>
      </w:r>
      <w:r w:rsidR="009D64DC">
        <w:rPr>
          <w:rFonts w:hint="eastAsia"/>
          <w:sz w:val="24"/>
        </w:rPr>
        <w:t>において強調</w:t>
      </w:r>
      <w:r w:rsidR="00D52C71">
        <w:rPr>
          <w:rFonts w:hint="eastAsia"/>
          <w:sz w:val="24"/>
        </w:rPr>
        <w:t>しているところ、この指摘は、埋立法が根拠法令となる本件訴訟でも極めて重要な意義を有することから、ここで</w:t>
      </w:r>
      <w:r w:rsidR="009D64DC">
        <w:rPr>
          <w:rFonts w:hint="eastAsia"/>
          <w:sz w:val="24"/>
        </w:rPr>
        <w:t>言及</w:t>
      </w:r>
      <w:r w:rsidR="00D52C71">
        <w:rPr>
          <w:rFonts w:hint="eastAsia"/>
          <w:sz w:val="24"/>
        </w:rPr>
        <w:t>してお</w:t>
      </w:r>
      <w:r w:rsidR="00343955">
        <w:rPr>
          <w:rFonts w:hint="eastAsia"/>
          <w:sz w:val="24"/>
        </w:rPr>
        <w:t>く</w:t>
      </w:r>
      <w:r>
        <w:rPr>
          <w:rFonts w:hint="eastAsia"/>
          <w:sz w:val="24"/>
        </w:rPr>
        <w:t>。</w:t>
      </w:r>
    </w:p>
    <w:p w14:paraId="05A6510C" w14:textId="77777777" w:rsidR="00A67BEE" w:rsidRDefault="000F6D41" w:rsidP="00A67BEE">
      <w:pPr>
        <w:ind w:leftChars="300" w:left="849" w:firstLineChars="100" w:firstLine="313"/>
        <w:jc w:val="left"/>
        <w:rPr>
          <w:sz w:val="24"/>
        </w:rPr>
      </w:pPr>
      <w:r>
        <w:rPr>
          <w:rFonts w:hint="eastAsia"/>
          <w:sz w:val="24"/>
        </w:rPr>
        <w:t>林補足意見</w:t>
      </w:r>
      <w:r w:rsidR="00D52C71">
        <w:rPr>
          <w:rFonts w:hint="eastAsia"/>
          <w:sz w:val="24"/>
        </w:rPr>
        <w:t>は、</w:t>
      </w:r>
      <w:r w:rsidRPr="000F6D41">
        <w:rPr>
          <w:rFonts w:hint="eastAsia"/>
          <w:sz w:val="24"/>
        </w:rPr>
        <w:t>多数意見において原告適格を認めた</w:t>
      </w:r>
      <w:r w:rsidR="00A67BEE">
        <w:rPr>
          <w:rFonts w:hint="eastAsia"/>
          <w:sz w:val="24"/>
        </w:rPr>
        <w:t>背景には、</w:t>
      </w:r>
      <w:r w:rsidRPr="000F6D41">
        <w:rPr>
          <w:rFonts w:hint="eastAsia"/>
          <w:sz w:val="24"/>
        </w:rPr>
        <w:t>改正行訴法による</w:t>
      </w:r>
      <w:r w:rsidR="00D52C71">
        <w:rPr>
          <w:rFonts w:hint="eastAsia"/>
          <w:sz w:val="24"/>
        </w:rPr>
        <w:t>９</w:t>
      </w:r>
      <w:r w:rsidRPr="000F6D41">
        <w:rPr>
          <w:rFonts w:hint="eastAsia"/>
          <w:sz w:val="24"/>
        </w:rPr>
        <w:t>条</w:t>
      </w:r>
      <w:r w:rsidR="00D52C71">
        <w:rPr>
          <w:rFonts w:hint="eastAsia"/>
          <w:sz w:val="24"/>
        </w:rPr>
        <w:t>２</w:t>
      </w:r>
      <w:r w:rsidRPr="000F6D41">
        <w:rPr>
          <w:rFonts w:hint="eastAsia"/>
          <w:sz w:val="24"/>
        </w:rPr>
        <w:t>項の考慮事項の法定が</w:t>
      </w:r>
      <w:r w:rsidR="00A67BEE">
        <w:rPr>
          <w:rFonts w:hint="eastAsia"/>
          <w:sz w:val="24"/>
        </w:rPr>
        <w:t>ある</w:t>
      </w:r>
      <w:r>
        <w:rPr>
          <w:rFonts w:hint="eastAsia"/>
          <w:sz w:val="24"/>
        </w:rPr>
        <w:t>と指摘し</w:t>
      </w:r>
      <w:r w:rsidR="00A67BEE">
        <w:rPr>
          <w:rFonts w:hint="eastAsia"/>
          <w:sz w:val="24"/>
        </w:rPr>
        <w:t>ている</w:t>
      </w:r>
      <w:r w:rsidRPr="000F6D41">
        <w:rPr>
          <w:rFonts w:hint="eastAsia"/>
          <w:sz w:val="24"/>
        </w:rPr>
        <w:t>。</w:t>
      </w:r>
      <w:r w:rsidR="00A67BEE">
        <w:rPr>
          <w:rFonts w:hint="eastAsia"/>
          <w:sz w:val="24"/>
        </w:rPr>
        <w:t>言い換えれば、</w:t>
      </w:r>
      <w:r w:rsidRPr="000F6D41">
        <w:rPr>
          <w:rFonts w:hint="eastAsia"/>
          <w:sz w:val="24"/>
        </w:rPr>
        <w:t>同意見</w:t>
      </w:r>
      <w:r w:rsidR="00A67BEE">
        <w:rPr>
          <w:rFonts w:hint="eastAsia"/>
          <w:sz w:val="24"/>
        </w:rPr>
        <w:t>は</w:t>
      </w:r>
      <w:r w:rsidRPr="000F6D41">
        <w:rPr>
          <w:rFonts w:hint="eastAsia"/>
          <w:sz w:val="24"/>
        </w:rPr>
        <w:t>、仮に</w:t>
      </w:r>
      <w:r w:rsidR="00D52C71">
        <w:rPr>
          <w:rFonts w:hint="eastAsia"/>
          <w:sz w:val="24"/>
        </w:rPr>
        <w:t>改正行訴法９条２項</w:t>
      </w:r>
      <w:r w:rsidRPr="000F6D41">
        <w:rPr>
          <w:rFonts w:hint="eastAsia"/>
          <w:sz w:val="24"/>
        </w:rPr>
        <w:t>なかりせば、</w:t>
      </w:r>
      <w:r w:rsidR="00D52C71">
        <w:rPr>
          <w:rFonts w:hint="eastAsia"/>
          <w:sz w:val="24"/>
        </w:rPr>
        <w:t>同事件</w:t>
      </w:r>
      <w:r w:rsidRPr="000F6D41">
        <w:rPr>
          <w:rFonts w:hint="eastAsia"/>
          <w:sz w:val="24"/>
        </w:rPr>
        <w:t>における条例の規定だけでは</w:t>
      </w:r>
      <w:r w:rsidR="00A67BEE">
        <w:rPr>
          <w:rFonts w:hint="eastAsia"/>
          <w:sz w:val="24"/>
        </w:rPr>
        <w:t>、</w:t>
      </w:r>
      <w:r w:rsidRPr="000F6D41">
        <w:rPr>
          <w:rFonts w:hint="eastAsia"/>
          <w:sz w:val="24"/>
        </w:rPr>
        <w:t>原告適格を認めることがなかった可能性がある</w:t>
      </w:r>
      <w:r w:rsidR="00D52C71">
        <w:rPr>
          <w:rFonts w:hint="eastAsia"/>
          <w:sz w:val="24"/>
        </w:rPr>
        <w:t>ということを指摘し</w:t>
      </w:r>
      <w:r w:rsidR="00A67BEE">
        <w:rPr>
          <w:rFonts w:hint="eastAsia"/>
          <w:sz w:val="24"/>
        </w:rPr>
        <w:t>ているのである。</w:t>
      </w:r>
    </w:p>
    <w:p w14:paraId="2D8065CC" w14:textId="68E20F34" w:rsidR="00D52C71" w:rsidRDefault="00A67BEE" w:rsidP="00A67BEE">
      <w:pPr>
        <w:ind w:leftChars="300" w:left="849" w:firstLineChars="100" w:firstLine="313"/>
        <w:jc w:val="left"/>
        <w:rPr>
          <w:sz w:val="24"/>
        </w:rPr>
      </w:pPr>
      <w:r>
        <w:rPr>
          <w:rFonts w:hint="eastAsia"/>
          <w:sz w:val="24"/>
        </w:rPr>
        <w:t>これはすなわち、</w:t>
      </w:r>
      <w:r w:rsidR="000F6D41" w:rsidRPr="000F6D41">
        <w:rPr>
          <w:rFonts w:hint="eastAsia"/>
          <w:sz w:val="24"/>
        </w:rPr>
        <w:t>改正前行訴法の下で</w:t>
      </w:r>
      <w:r>
        <w:rPr>
          <w:rFonts w:hint="eastAsia"/>
          <w:sz w:val="24"/>
        </w:rPr>
        <w:t>あれば</w:t>
      </w:r>
      <w:r w:rsidR="000F6D41" w:rsidRPr="000F6D41">
        <w:rPr>
          <w:rFonts w:hint="eastAsia"/>
          <w:sz w:val="24"/>
        </w:rPr>
        <w:t>、従来の最判同様、</w:t>
      </w:r>
      <w:r>
        <w:rPr>
          <w:rFonts w:hint="eastAsia"/>
          <w:sz w:val="24"/>
        </w:rPr>
        <w:t>同事件においても、</w:t>
      </w:r>
      <w:r w:rsidR="000F6D41" w:rsidRPr="000F6D41">
        <w:rPr>
          <w:rFonts w:hint="eastAsia"/>
          <w:sz w:val="24"/>
        </w:rPr>
        <w:t>距離制限内の住民について</w:t>
      </w:r>
      <w:r>
        <w:rPr>
          <w:rFonts w:hint="eastAsia"/>
          <w:sz w:val="24"/>
        </w:rPr>
        <w:t>、「</w:t>
      </w:r>
      <w:r w:rsidR="000F6D41" w:rsidRPr="000F6D41">
        <w:rPr>
          <w:rFonts w:hint="eastAsia"/>
          <w:sz w:val="24"/>
        </w:rPr>
        <w:t>法や条例が</w:t>
      </w:r>
      <w:r>
        <w:rPr>
          <w:rFonts w:hint="eastAsia"/>
          <w:sz w:val="24"/>
        </w:rPr>
        <w:t>、</w:t>
      </w:r>
      <w:r w:rsidR="000F6D41" w:rsidRPr="000F6D41">
        <w:rPr>
          <w:rFonts w:hint="eastAsia"/>
          <w:sz w:val="24"/>
        </w:rPr>
        <w:t>具体的に個別的な法的利益を保護してい</w:t>
      </w:r>
      <w:r>
        <w:rPr>
          <w:rFonts w:hint="eastAsia"/>
          <w:sz w:val="24"/>
        </w:rPr>
        <w:t>る</w:t>
      </w:r>
      <w:r w:rsidR="000F6D41" w:rsidRPr="000F6D41">
        <w:rPr>
          <w:rFonts w:hint="eastAsia"/>
          <w:sz w:val="24"/>
        </w:rPr>
        <w:t>わけではない</w:t>
      </w:r>
      <w:r>
        <w:rPr>
          <w:rFonts w:hint="eastAsia"/>
          <w:sz w:val="24"/>
        </w:rPr>
        <w:t>」</w:t>
      </w:r>
      <w:r w:rsidR="000F6D41" w:rsidRPr="000F6D41">
        <w:rPr>
          <w:rFonts w:hint="eastAsia"/>
          <w:sz w:val="24"/>
        </w:rPr>
        <w:t>と解釈し</w:t>
      </w:r>
      <w:r w:rsidR="00D52C71">
        <w:rPr>
          <w:rFonts w:hint="eastAsia"/>
          <w:sz w:val="24"/>
        </w:rPr>
        <w:t>ていた可能性が高いことを示すものである。</w:t>
      </w:r>
    </w:p>
    <w:p w14:paraId="45D19487" w14:textId="137A01BD" w:rsidR="00A67BEE" w:rsidRDefault="00343955" w:rsidP="000F6D41">
      <w:pPr>
        <w:ind w:leftChars="300" w:left="849" w:firstLineChars="100" w:firstLine="313"/>
        <w:jc w:val="left"/>
        <w:rPr>
          <w:sz w:val="24"/>
        </w:rPr>
      </w:pPr>
      <w:r>
        <w:rPr>
          <w:rFonts w:hint="eastAsia"/>
          <w:sz w:val="24"/>
        </w:rPr>
        <w:t>もっとも</w:t>
      </w:r>
      <w:r w:rsidR="00A67BEE">
        <w:rPr>
          <w:rFonts w:hint="eastAsia"/>
          <w:sz w:val="24"/>
        </w:rPr>
        <w:t>今般の最新判例では、行訴法改正により</w:t>
      </w:r>
      <w:r w:rsidR="000F6D41" w:rsidRPr="000F6D41">
        <w:rPr>
          <w:rFonts w:hint="eastAsia"/>
          <w:sz w:val="24"/>
        </w:rPr>
        <w:t>法</w:t>
      </w:r>
      <w:r w:rsidR="000F6D41" w:rsidRPr="000F6D41">
        <w:rPr>
          <w:rFonts w:hint="eastAsia"/>
          <w:sz w:val="24"/>
        </w:rPr>
        <w:t>9</w:t>
      </w:r>
      <w:r w:rsidR="000F6D41" w:rsidRPr="000F6D41">
        <w:rPr>
          <w:rFonts w:hint="eastAsia"/>
          <w:sz w:val="24"/>
        </w:rPr>
        <w:t>条</w:t>
      </w:r>
      <w:r w:rsidR="000F6D41" w:rsidRPr="000F6D41">
        <w:rPr>
          <w:rFonts w:hint="eastAsia"/>
          <w:sz w:val="24"/>
        </w:rPr>
        <w:t>2</w:t>
      </w:r>
      <w:r w:rsidR="000F6D41" w:rsidRPr="000F6D41">
        <w:rPr>
          <w:rFonts w:hint="eastAsia"/>
          <w:sz w:val="24"/>
        </w:rPr>
        <w:t>項</w:t>
      </w:r>
      <w:r w:rsidR="00A67BEE">
        <w:rPr>
          <w:rFonts w:hint="eastAsia"/>
          <w:sz w:val="24"/>
        </w:rPr>
        <w:t>が法定された結果、そこで定めた</w:t>
      </w:r>
      <w:r w:rsidR="000F6D41" w:rsidRPr="000F6D41">
        <w:rPr>
          <w:rFonts w:hint="eastAsia"/>
          <w:sz w:val="24"/>
        </w:rPr>
        <w:t>考慮事項に</w:t>
      </w:r>
      <w:r w:rsidR="00A67BEE">
        <w:rPr>
          <w:rFonts w:hint="eastAsia"/>
          <w:sz w:val="24"/>
        </w:rPr>
        <w:t>したがって</w:t>
      </w:r>
      <w:r w:rsidR="00D52C71">
        <w:rPr>
          <w:rFonts w:hint="eastAsia"/>
          <w:sz w:val="24"/>
        </w:rPr>
        <w:t>、</w:t>
      </w:r>
      <w:r w:rsidR="000F6D41" w:rsidRPr="000F6D41">
        <w:rPr>
          <w:rFonts w:hint="eastAsia"/>
          <w:sz w:val="24"/>
        </w:rPr>
        <w:t>端的に個別の住民の利益を保護する趣旨を</w:t>
      </w:r>
      <w:r w:rsidR="00A67BEE">
        <w:rPr>
          <w:rFonts w:hint="eastAsia"/>
          <w:sz w:val="24"/>
        </w:rPr>
        <w:t>、</w:t>
      </w:r>
      <w:r w:rsidR="000F6D41" w:rsidRPr="000F6D41">
        <w:rPr>
          <w:rFonts w:hint="eastAsia"/>
          <w:sz w:val="24"/>
        </w:rPr>
        <w:t>条例を手掛かりとして読み取</w:t>
      </w:r>
      <w:r w:rsidR="009D64DC">
        <w:rPr>
          <w:rFonts w:hint="eastAsia"/>
          <w:sz w:val="24"/>
        </w:rPr>
        <w:t>るべきである</w:t>
      </w:r>
      <w:r w:rsidR="00A67BEE">
        <w:rPr>
          <w:rFonts w:hint="eastAsia"/>
          <w:sz w:val="24"/>
        </w:rPr>
        <w:t>ということ</w:t>
      </w:r>
      <w:r w:rsidR="009D64DC">
        <w:rPr>
          <w:rFonts w:hint="eastAsia"/>
          <w:sz w:val="24"/>
        </w:rPr>
        <w:t>が示されたのであって、林補足意見は、この点を強調したもので</w:t>
      </w:r>
      <w:r w:rsidR="00A67BEE">
        <w:rPr>
          <w:rFonts w:hint="eastAsia"/>
          <w:sz w:val="24"/>
        </w:rPr>
        <w:t>ある</w:t>
      </w:r>
      <w:r w:rsidR="000F6D41" w:rsidRPr="000F6D41">
        <w:rPr>
          <w:rFonts w:hint="eastAsia"/>
          <w:sz w:val="24"/>
        </w:rPr>
        <w:t>。</w:t>
      </w:r>
    </w:p>
    <w:p w14:paraId="2CDC11A7" w14:textId="63F02E47" w:rsidR="000F6D41" w:rsidRDefault="00A67BEE" w:rsidP="000F6D41">
      <w:pPr>
        <w:ind w:leftChars="300" w:left="849" w:firstLineChars="100" w:firstLine="313"/>
        <w:jc w:val="left"/>
        <w:rPr>
          <w:sz w:val="24"/>
        </w:rPr>
      </w:pPr>
      <w:r>
        <w:rPr>
          <w:rFonts w:hint="eastAsia"/>
          <w:sz w:val="24"/>
        </w:rPr>
        <w:t>このように、</w:t>
      </w:r>
      <w:r w:rsidR="009D64DC">
        <w:rPr>
          <w:rFonts w:hint="eastAsia"/>
          <w:sz w:val="24"/>
        </w:rPr>
        <w:t>最高裁は、</w:t>
      </w:r>
      <w:r w:rsidR="000F6D41" w:rsidRPr="000F6D41">
        <w:rPr>
          <w:rFonts w:hint="eastAsia"/>
          <w:sz w:val="24"/>
        </w:rPr>
        <w:t>法に要件の規定が一切存在しない墓埋法の原告適格においてすら、直接委任を受けたわけでもない条例の文言からこのような結論を導</w:t>
      </w:r>
      <w:r w:rsidR="009D64DC">
        <w:rPr>
          <w:rFonts w:hint="eastAsia"/>
          <w:sz w:val="24"/>
        </w:rPr>
        <w:t>くべきであると理解したのであって</w:t>
      </w:r>
      <w:r w:rsidR="000F6D41" w:rsidRPr="000F6D41">
        <w:rPr>
          <w:rFonts w:hint="eastAsia"/>
          <w:sz w:val="24"/>
        </w:rPr>
        <w:t>、</w:t>
      </w:r>
      <w:r>
        <w:rPr>
          <w:rFonts w:hint="eastAsia"/>
          <w:sz w:val="24"/>
        </w:rPr>
        <w:t>いわんや、</w:t>
      </w:r>
      <w:r w:rsidR="000F6D41" w:rsidRPr="000F6D41">
        <w:rPr>
          <w:rFonts w:hint="eastAsia"/>
          <w:sz w:val="24"/>
        </w:rPr>
        <w:t>環境、防災、土地利用等につい</w:t>
      </w:r>
      <w:r w:rsidR="000F6D41" w:rsidRPr="000F6D41">
        <w:rPr>
          <w:rFonts w:hint="eastAsia"/>
          <w:sz w:val="24"/>
        </w:rPr>
        <w:lastRenderedPageBreak/>
        <w:t>て</w:t>
      </w:r>
      <w:r w:rsidR="00343955">
        <w:rPr>
          <w:rFonts w:hint="eastAsia"/>
          <w:sz w:val="24"/>
        </w:rPr>
        <w:t>極めて</w:t>
      </w:r>
      <w:r w:rsidR="000F6D41" w:rsidRPr="000F6D41">
        <w:rPr>
          <w:rFonts w:hint="eastAsia"/>
          <w:sz w:val="24"/>
        </w:rPr>
        <w:t>具体的で詳細な要件を直接法に規定する埋立法における原告適格の判断に際しては、</w:t>
      </w:r>
      <w:r w:rsidR="009D64DC" w:rsidRPr="000F6D41">
        <w:rPr>
          <w:rFonts w:hint="eastAsia"/>
          <w:sz w:val="24"/>
        </w:rPr>
        <w:t>墓埋法以上に</w:t>
      </w:r>
      <w:r w:rsidR="009D64DC">
        <w:rPr>
          <w:rFonts w:hint="eastAsia"/>
          <w:sz w:val="24"/>
        </w:rPr>
        <w:t>、</w:t>
      </w:r>
      <w:r w:rsidR="00E605E8">
        <w:rPr>
          <w:rFonts w:hint="eastAsia"/>
          <w:sz w:val="24"/>
        </w:rPr>
        <w:t>埋立法の</w:t>
      </w:r>
      <w:r w:rsidR="000F6D41" w:rsidRPr="000F6D41">
        <w:rPr>
          <w:rFonts w:hint="eastAsia"/>
          <w:sz w:val="24"/>
        </w:rPr>
        <w:t>趣旨、目的等、</w:t>
      </w:r>
      <w:r>
        <w:rPr>
          <w:rFonts w:hint="eastAsia"/>
          <w:sz w:val="24"/>
        </w:rPr>
        <w:t>改正行訴法９条２項</w:t>
      </w:r>
      <w:r w:rsidR="000F6D41" w:rsidRPr="000F6D41">
        <w:rPr>
          <w:rFonts w:hint="eastAsia"/>
          <w:sz w:val="24"/>
        </w:rPr>
        <w:t>の考慮事項を</w:t>
      </w:r>
      <w:r w:rsidR="009C07EC">
        <w:rPr>
          <w:rFonts w:hint="eastAsia"/>
          <w:sz w:val="24"/>
        </w:rPr>
        <w:t>より</w:t>
      </w:r>
      <w:r w:rsidR="009D64DC">
        <w:rPr>
          <w:rFonts w:hint="eastAsia"/>
          <w:sz w:val="24"/>
        </w:rPr>
        <w:t>柔軟</w:t>
      </w:r>
      <w:r w:rsidR="009C07EC">
        <w:rPr>
          <w:rFonts w:hint="eastAsia"/>
          <w:sz w:val="24"/>
        </w:rPr>
        <w:t>かつ広範</w:t>
      </w:r>
      <w:r w:rsidR="009D64DC">
        <w:rPr>
          <w:rFonts w:hint="eastAsia"/>
          <w:sz w:val="24"/>
        </w:rPr>
        <w:t>に読み取り、原告適格に関する結論を導くべきである</w:t>
      </w:r>
      <w:r w:rsidR="000F6D41" w:rsidRPr="000F6D41">
        <w:rPr>
          <w:rFonts w:hint="eastAsia"/>
          <w:sz w:val="24"/>
        </w:rPr>
        <w:t>。</w:t>
      </w:r>
    </w:p>
    <w:p w14:paraId="40A56FC3" w14:textId="095BF665" w:rsidR="00717D53" w:rsidRPr="00343955" w:rsidRDefault="00717D53" w:rsidP="00343955">
      <w:pPr>
        <w:pStyle w:val="2"/>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9" w:name="_Toc136612132"/>
      <w:r w:rsidRPr="00343955">
        <w:rPr>
          <w:rFonts w:ascii="ＭＳ ゴシック" w:eastAsia="ＭＳ ゴシック" w:hAnsi="ＭＳ ゴシック" w:cs="Times New Roman" w:hint="eastAsia"/>
          <w:spacing w:val="2"/>
          <w:kern w:val="0"/>
          <w:szCs w:val="24"/>
        </w:rPr>
        <w:t>（２）当該法令と目的を同じくする関係法令を参酌したこと</w:t>
      </w:r>
      <w:bookmarkEnd w:id="9"/>
    </w:p>
    <w:p w14:paraId="6CD602AF" w14:textId="529F106F" w:rsidR="00717D53" w:rsidRPr="00717D53" w:rsidRDefault="00717D53" w:rsidP="00CD1215">
      <w:pPr>
        <w:ind w:leftChars="300" w:left="849" w:firstLineChars="100" w:firstLine="313"/>
        <w:jc w:val="left"/>
        <w:rPr>
          <w:sz w:val="24"/>
        </w:rPr>
      </w:pPr>
      <w:r>
        <w:rPr>
          <w:rFonts w:hint="eastAsia"/>
          <w:sz w:val="24"/>
        </w:rPr>
        <w:t>最新判例は、墓埋法の目的（同法１条）と趣旨及び目的を同じくする関係法令として細則をも参酌した。</w:t>
      </w:r>
    </w:p>
    <w:p w14:paraId="6DFB2469" w14:textId="3F714578" w:rsidR="00717D53" w:rsidRDefault="00717D53" w:rsidP="00CD1215">
      <w:pPr>
        <w:ind w:leftChars="300" w:left="849" w:firstLineChars="100" w:firstLine="313"/>
        <w:jc w:val="left"/>
        <w:rPr>
          <w:sz w:val="24"/>
        </w:rPr>
      </w:pPr>
      <w:r>
        <w:rPr>
          <w:rFonts w:hint="eastAsia"/>
          <w:sz w:val="24"/>
        </w:rPr>
        <w:t>これは、改正行訴法９条２項が求める「</w:t>
      </w:r>
      <w:r w:rsidRPr="007B3049">
        <w:rPr>
          <w:rFonts w:hint="eastAsia"/>
          <w:sz w:val="24"/>
        </w:rPr>
        <w:t>当該法令と目的を共通にする関係法令があるときはその趣旨及び目的をも参酌</w:t>
      </w:r>
      <w:r>
        <w:rPr>
          <w:rFonts w:hint="eastAsia"/>
          <w:sz w:val="24"/>
        </w:rPr>
        <w:t>」するという定めからして当然の理であるが、ここで重要な点も、やはり「墓埋法１０条の目的」ではなく、「墓埋法の目的（１条）」を参酌したという点である。</w:t>
      </w:r>
    </w:p>
    <w:p w14:paraId="6A747571" w14:textId="4161AD43" w:rsidR="00717D53" w:rsidRPr="00717D53" w:rsidRDefault="00717D53" w:rsidP="00CD1215">
      <w:pPr>
        <w:ind w:leftChars="300" w:left="849" w:firstLineChars="100" w:firstLine="313"/>
        <w:jc w:val="left"/>
        <w:rPr>
          <w:sz w:val="24"/>
        </w:rPr>
      </w:pPr>
      <w:r>
        <w:rPr>
          <w:rFonts w:hint="eastAsia"/>
          <w:sz w:val="24"/>
        </w:rPr>
        <w:t>個別の条・項・号に裁断して、それぞれの目的を参酌して関連法令を考えるのではなく、法そのものの目的を参酌して関係法令を参酌するのが、改正行訴法９条２項のあるべき解釈適用であることを、最新判例は示したのである。</w:t>
      </w:r>
    </w:p>
    <w:p w14:paraId="539D4253" w14:textId="2A4B7175" w:rsidR="00A77FEC" w:rsidRPr="00343955" w:rsidRDefault="00A77FEC" w:rsidP="00343955">
      <w:pPr>
        <w:pStyle w:val="2"/>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10" w:name="_Toc136612133"/>
      <w:r w:rsidRPr="00343955">
        <w:rPr>
          <w:rFonts w:ascii="ＭＳ ゴシック" w:eastAsia="ＭＳ ゴシック" w:hAnsi="ＭＳ ゴシック" w:cs="Times New Roman" w:hint="eastAsia"/>
          <w:spacing w:val="2"/>
          <w:kern w:val="0"/>
          <w:szCs w:val="24"/>
        </w:rPr>
        <w:t>（</w:t>
      </w:r>
      <w:r w:rsidR="00717D53" w:rsidRPr="00343955">
        <w:rPr>
          <w:rFonts w:ascii="ＭＳ ゴシック" w:eastAsia="ＭＳ ゴシック" w:hAnsi="ＭＳ ゴシック" w:cs="Times New Roman" w:hint="eastAsia"/>
          <w:spacing w:val="2"/>
          <w:kern w:val="0"/>
          <w:szCs w:val="24"/>
        </w:rPr>
        <w:t>３</w:t>
      </w:r>
      <w:r w:rsidRPr="00343955">
        <w:rPr>
          <w:rFonts w:ascii="ＭＳ ゴシック" w:eastAsia="ＭＳ ゴシック" w:hAnsi="ＭＳ ゴシック" w:cs="Times New Roman" w:hint="eastAsia"/>
          <w:spacing w:val="2"/>
          <w:kern w:val="0"/>
          <w:szCs w:val="24"/>
        </w:rPr>
        <w:t>）</w:t>
      </w:r>
      <w:r w:rsidR="00B57574" w:rsidRPr="00343955">
        <w:rPr>
          <w:rFonts w:ascii="ＭＳ ゴシック" w:eastAsia="ＭＳ ゴシック" w:hAnsi="ＭＳ ゴシック" w:cs="Times New Roman" w:hint="eastAsia"/>
          <w:spacing w:val="2"/>
          <w:kern w:val="0"/>
          <w:szCs w:val="24"/>
        </w:rPr>
        <w:t>埋葬施設の運用</w:t>
      </w:r>
      <w:r w:rsidRPr="00343955">
        <w:rPr>
          <w:rFonts w:ascii="ＭＳ ゴシック" w:eastAsia="ＭＳ ゴシック" w:hAnsi="ＭＳ ゴシック" w:cs="Times New Roman" w:hint="eastAsia"/>
          <w:spacing w:val="2"/>
          <w:kern w:val="0"/>
          <w:szCs w:val="24"/>
        </w:rPr>
        <w:t>による影響を考慮したこと</w:t>
      </w:r>
      <w:bookmarkEnd w:id="10"/>
    </w:p>
    <w:p w14:paraId="32965702" w14:textId="3A57B19D" w:rsidR="00A77FEC" w:rsidRPr="00A77FEC" w:rsidRDefault="009C07EC" w:rsidP="009C07EC">
      <w:pPr>
        <w:ind w:leftChars="200" w:left="879" w:hangingChars="100" w:hanging="313"/>
        <w:rPr>
          <w:sz w:val="24"/>
        </w:rPr>
      </w:pPr>
      <w:r>
        <w:rPr>
          <w:rFonts w:hint="eastAsia"/>
          <w:sz w:val="24"/>
        </w:rPr>
        <w:t xml:space="preserve">ア　</w:t>
      </w:r>
      <w:r w:rsidR="00A77FEC">
        <w:rPr>
          <w:rFonts w:hint="eastAsia"/>
          <w:sz w:val="24"/>
        </w:rPr>
        <w:t>多数意見は、「</w:t>
      </w:r>
      <w:r w:rsidR="00A77FEC" w:rsidRPr="00A77FEC">
        <w:rPr>
          <w:rFonts w:hint="eastAsia"/>
          <w:sz w:val="24"/>
        </w:rPr>
        <w:t>本件細則８条本文は、墓地等の設置場所に</w:t>
      </w:r>
      <w:r>
        <w:rPr>
          <w:rFonts w:hint="eastAsia"/>
          <w:sz w:val="24"/>
        </w:rPr>
        <w:t xml:space="preserve">　</w:t>
      </w:r>
      <w:r w:rsidR="00A77FEC" w:rsidRPr="00A77FEC">
        <w:rPr>
          <w:rFonts w:hint="eastAsia"/>
          <w:sz w:val="24"/>
        </w:rPr>
        <w:t>関し、墓地等が死体を葬るための施設であり（法２条）、その存在が人の死を想起させるものであることに鑑み、良好な生活環境を保全する必要がある施設として、学校、病院及び人家という特定の類型の施設に特に着目し、</w:t>
      </w:r>
      <w:r w:rsidR="00A77FEC" w:rsidRPr="00A77FEC">
        <w:rPr>
          <w:rFonts w:hint="eastAsia"/>
          <w:sz w:val="24"/>
          <w:u w:val="single"/>
        </w:rPr>
        <w:t>その周囲おおむね３００ｍ以内の場所における墓地経営等については、これらの施設に係る生活環境を損なうおそれがある</w:t>
      </w:r>
      <w:r w:rsidR="00A77FEC" w:rsidRPr="00A77FEC">
        <w:rPr>
          <w:rFonts w:hint="eastAsia"/>
          <w:sz w:val="24"/>
        </w:rPr>
        <w:t>ものとみて、これを原則として禁止する規定であると解される</w:t>
      </w:r>
      <w:r w:rsidR="00A77FEC">
        <w:rPr>
          <w:rFonts w:hint="eastAsia"/>
          <w:sz w:val="24"/>
        </w:rPr>
        <w:t>」（下線は引用者による。）としている。</w:t>
      </w:r>
    </w:p>
    <w:p w14:paraId="7E3DB299" w14:textId="28E11054" w:rsidR="00A77FEC" w:rsidRDefault="002256E4" w:rsidP="002256E4">
      <w:pPr>
        <w:ind w:leftChars="300" w:left="849" w:firstLineChars="100" w:firstLine="313"/>
        <w:rPr>
          <w:sz w:val="24"/>
        </w:rPr>
      </w:pPr>
      <w:r>
        <w:rPr>
          <w:rFonts w:hint="eastAsia"/>
          <w:sz w:val="24"/>
        </w:rPr>
        <w:lastRenderedPageBreak/>
        <w:t>これは、改正行訴法９条２項が「</w:t>
      </w:r>
      <w:r w:rsidRPr="002256E4">
        <w:rPr>
          <w:rFonts w:hint="eastAsia"/>
          <w:sz w:val="24"/>
        </w:rPr>
        <w:t>当該利益の内容及び性質を考慮するに当たっては、当該処分がその根拠となる法令に違反してされた場合に害されることとなる利益の内容及び性質並びにこれが害される態様及び程度をも勘案すべき</w:t>
      </w:r>
      <w:r>
        <w:rPr>
          <w:rFonts w:hint="eastAsia"/>
          <w:sz w:val="24"/>
        </w:rPr>
        <w:t>」という定めとの関係で理解されるべき判示である。</w:t>
      </w:r>
    </w:p>
    <w:p w14:paraId="294DC463" w14:textId="77777777" w:rsidR="009C07EC" w:rsidRDefault="002256E4" w:rsidP="009C07EC">
      <w:pPr>
        <w:ind w:leftChars="300" w:left="849" w:firstLineChars="100" w:firstLine="313"/>
        <w:rPr>
          <w:sz w:val="24"/>
        </w:rPr>
      </w:pPr>
      <w:r>
        <w:rPr>
          <w:rFonts w:hint="eastAsia"/>
          <w:sz w:val="24"/>
        </w:rPr>
        <w:t>すなわち、「</w:t>
      </w:r>
      <w:r w:rsidRPr="002256E4">
        <w:rPr>
          <w:rFonts w:hint="eastAsia"/>
          <w:sz w:val="24"/>
        </w:rPr>
        <w:t>当該処分がその根拠となる法令に違反してされた場合に害されることとなる利益</w:t>
      </w:r>
      <w:r>
        <w:rPr>
          <w:rFonts w:hint="eastAsia"/>
          <w:sz w:val="24"/>
        </w:rPr>
        <w:t>」とは、最新判例の事案に置き換えると、「墓地経営等の許可（「当該処分」）がその根拠となる法令に違反してされた場合に、その周囲おおむね３００ｍ以内の場所における学校、病院及び人家に係る生活環境が害される」ということを意味しているのである。</w:t>
      </w:r>
    </w:p>
    <w:p w14:paraId="162A696A" w14:textId="6256A1CD" w:rsidR="004119E6" w:rsidRDefault="009C07EC" w:rsidP="009C07EC">
      <w:pPr>
        <w:ind w:leftChars="200" w:left="879" w:hangingChars="100" w:hanging="313"/>
        <w:rPr>
          <w:sz w:val="24"/>
        </w:rPr>
      </w:pPr>
      <w:r>
        <w:rPr>
          <w:rFonts w:hint="eastAsia"/>
          <w:sz w:val="24"/>
        </w:rPr>
        <w:t xml:space="preserve">イ　</w:t>
      </w:r>
      <w:r w:rsidR="000A239A">
        <w:rPr>
          <w:rFonts w:hint="eastAsia"/>
          <w:sz w:val="24"/>
        </w:rPr>
        <w:t>加えて、全ての裁判官</w:t>
      </w:r>
      <w:r w:rsidR="000A239A" w:rsidRPr="000A239A">
        <w:rPr>
          <w:rFonts w:hint="eastAsia"/>
          <w:sz w:val="24"/>
        </w:rPr>
        <w:t>に共通するのは、</w:t>
      </w:r>
      <w:r w:rsidR="000A239A">
        <w:rPr>
          <w:rFonts w:hint="eastAsia"/>
          <w:sz w:val="24"/>
        </w:rPr>
        <w:t>「害されることと</w:t>
      </w:r>
      <w:r>
        <w:rPr>
          <w:rFonts w:hint="eastAsia"/>
          <w:sz w:val="24"/>
        </w:rPr>
        <w:t xml:space="preserve">　</w:t>
      </w:r>
      <w:r w:rsidR="000A239A">
        <w:rPr>
          <w:rFonts w:hint="eastAsia"/>
          <w:sz w:val="24"/>
        </w:rPr>
        <w:t>なる利益」の条文が、</w:t>
      </w:r>
      <w:r w:rsidR="000A239A" w:rsidRPr="000A239A">
        <w:rPr>
          <w:rFonts w:hint="eastAsia"/>
          <w:sz w:val="24"/>
        </w:rPr>
        <w:t>実質的な利益侵害に着目</w:t>
      </w:r>
      <w:r w:rsidR="000A239A">
        <w:rPr>
          <w:rFonts w:hint="eastAsia"/>
          <w:sz w:val="24"/>
        </w:rPr>
        <w:t>すべきとして解釈されているとい</w:t>
      </w:r>
      <w:r w:rsidR="000A239A" w:rsidRPr="000A239A">
        <w:rPr>
          <w:rFonts w:hint="eastAsia"/>
          <w:sz w:val="24"/>
        </w:rPr>
        <w:t>う点</w:t>
      </w:r>
      <w:r w:rsidR="000A239A">
        <w:rPr>
          <w:rFonts w:hint="eastAsia"/>
          <w:sz w:val="24"/>
        </w:rPr>
        <w:t>である</w:t>
      </w:r>
      <w:r w:rsidR="000A239A" w:rsidRPr="000A239A">
        <w:rPr>
          <w:rFonts w:hint="eastAsia"/>
          <w:sz w:val="24"/>
        </w:rPr>
        <w:t>。</w:t>
      </w:r>
      <w:r w:rsidR="000A239A">
        <w:rPr>
          <w:rFonts w:hint="eastAsia"/>
          <w:sz w:val="24"/>
        </w:rPr>
        <w:t>これには２つの含意がある。</w:t>
      </w:r>
    </w:p>
    <w:p w14:paraId="4280F054" w14:textId="0E113410" w:rsidR="004119E6" w:rsidRDefault="000A239A" w:rsidP="004119E6">
      <w:pPr>
        <w:ind w:leftChars="300" w:left="849" w:firstLineChars="100" w:firstLine="313"/>
        <w:rPr>
          <w:sz w:val="24"/>
        </w:rPr>
      </w:pPr>
      <w:r>
        <w:rPr>
          <w:rFonts w:hint="eastAsia"/>
          <w:sz w:val="24"/>
        </w:rPr>
        <w:t>１つは、違法に処分がなされた結果侵害される利益は、当該処分によって直接的ないし形式的に侵害されるものに限らず</w:t>
      </w:r>
      <w:r w:rsidR="004119E6">
        <w:rPr>
          <w:rFonts w:hint="eastAsia"/>
          <w:sz w:val="24"/>
        </w:rPr>
        <w:t>、例えば、</w:t>
      </w:r>
      <w:r>
        <w:rPr>
          <w:rFonts w:hint="eastAsia"/>
          <w:sz w:val="24"/>
        </w:rPr>
        <w:t>当該処分に伴い建設される施設が運用される結果もたらされる利益侵害</w:t>
      </w:r>
      <w:r w:rsidR="004119E6">
        <w:rPr>
          <w:rFonts w:hint="eastAsia"/>
          <w:sz w:val="24"/>
        </w:rPr>
        <w:t>が</w:t>
      </w:r>
      <w:r>
        <w:rPr>
          <w:rFonts w:hint="eastAsia"/>
          <w:sz w:val="24"/>
        </w:rPr>
        <w:t>考慮されるべきということである</w:t>
      </w:r>
      <w:r w:rsidR="004119E6">
        <w:rPr>
          <w:rFonts w:hint="eastAsia"/>
          <w:sz w:val="24"/>
        </w:rPr>
        <w:t>。最新判例においても、埋葬施設の存在が</w:t>
      </w:r>
      <w:r w:rsidR="00DF2B63">
        <w:rPr>
          <w:rFonts w:hint="eastAsia"/>
          <w:sz w:val="24"/>
        </w:rPr>
        <w:t>、</w:t>
      </w:r>
      <w:r w:rsidR="004119E6">
        <w:rPr>
          <w:rFonts w:hint="eastAsia"/>
          <w:sz w:val="24"/>
        </w:rPr>
        <w:t>何らかの利益を直接的あるいは形式的に侵害する</w:t>
      </w:r>
      <w:r w:rsidR="00DF2B63">
        <w:rPr>
          <w:rFonts w:hint="eastAsia"/>
          <w:sz w:val="24"/>
        </w:rPr>
        <w:t>はずではない</w:t>
      </w:r>
      <w:r w:rsidR="004119E6">
        <w:rPr>
          <w:rFonts w:hint="eastAsia"/>
          <w:sz w:val="24"/>
        </w:rPr>
        <w:t>ものの、「</w:t>
      </w:r>
      <w:r w:rsidR="004119E6" w:rsidRPr="004119E6">
        <w:rPr>
          <w:rFonts w:hint="eastAsia"/>
          <w:sz w:val="24"/>
        </w:rPr>
        <w:t>その存在が人の死を想起させるものであることに鑑み</w:t>
      </w:r>
      <w:r w:rsidR="004119E6">
        <w:rPr>
          <w:rFonts w:hint="eastAsia"/>
          <w:sz w:val="24"/>
        </w:rPr>
        <w:t>」ている。</w:t>
      </w:r>
      <w:r w:rsidR="00DF2B63">
        <w:rPr>
          <w:rFonts w:hint="eastAsia"/>
          <w:sz w:val="24"/>
        </w:rPr>
        <w:t>これが実質的に利益侵害を考慮するということの１つ目の含意である。</w:t>
      </w:r>
    </w:p>
    <w:p w14:paraId="2DA266C4" w14:textId="161D2DD4" w:rsidR="000A239A" w:rsidRDefault="004119E6" w:rsidP="00DF2B63">
      <w:pPr>
        <w:ind w:leftChars="300" w:left="849" w:firstLineChars="100" w:firstLine="313"/>
        <w:rPr>
          <w:sz w:val="24"/>
        </w:rPr>
      </w:pPr>
      <w:r>
        <w:rPr>
          <w:rFonts w:hint="eastAsia"/>
          <w:sz w:val="24"/>
        </w:rPr>
        <w:t>もう１つは、</w:t>
      </w:r>
      <w:r w:rsidR="00DF2B63">
        <w:rPr>
          <w:rFonts w:hint="eastAsia"/>
          <w:sz w:val="24"/>
        </w:rPr>
        <w:t>個別</w:t>
      </w:r>
      <w:r>
        <w:rPr>
          <w:rFonts w:hint="eastAsia"/>
          <w:sz w:val="24"/>
        </w:rPr>
        <w:t>具体的な法的権利が侵害されていなくても、「利益侵害」が認められれば、</w:t>
      </w:r>
      <w:r w:rsidR="00DF2B63">
        <w:rPr>
          <w:rFonts w:hint="eastAsia"/>
          <w:sz w:val="24"/>
        </w:rPr>
        <w:t>原告適格を肯定するという点である。最新判例は、</w:t>
      </w:r>
      <w:r w:rsidR="000A239A" w:rsidRPr="000A239A">
        <w:rPr>
          <w:rFonts w:hint="eastAsia"/>
          <w:sz w:val="24"/>
        </w:rPr>
        <w:t>侵害される利益</w:t>
      </w:r>
      <w:r w:rsidR="00DF2B63">
        <w:rPr>
          <w:rFonts w:hint="eastAsia"/>
          <w:sz w:val="24"/>
        </w:rPr>
        <w:t>を</w:t>
      </w:r>
      <w:r w:rsidR="000A239A" w:rsidRPr="000A239A">
        <w:rPr>
          <w:rFonts w:hint="eastAsia"/>
          <w:sz w:val="24"/>
        </w:rPr>
        <w:t>、墓地の周辺の（病</w:t>
      </w:r>
      <w:r w:rsidR="000A239A" w:rsidRPr="000A239A">
        <w:rPr>
          <w:rFonts w:hint="eastAsia"/>
          <w:sz w:val="24"/>
        </w:rPr>
        <w:lastRenderedPageBreak/>
        <w:t>院、学校、住居を問わず）人々の宗教感情や衛生である</w:t>
      </w:r>
      <w:r w:rsidR="00DF2B63">
        <w:rPr>
          <w:rFonts w:hint="eastAsia"/>
          <w:sz w:val="24"/>
        </w:rPr>
        <w:t>とした。これらはいずれも、個別具体的な法的権利としてこれに対応する法の規定があるものではないものの、最新判例はこれを法が保護していると考えられる「利益」として、その（実質的な）侵害が認められれば、原告適格を肯定し得るとしたものである。</w:t>
      </w:r>
    </w:p>
    <w:p w14:paraId="5D3B8EEC" w14:textId="49151354" w:rsidR="002256E4" w:rsidRDefault="002256E4" w:rsidP="002256E4">
      <w:pPr>
        <w:ind w:leftChars="300" w:left="849" w:firstLineChars="100" w:firstLine="313"/>
        <w:rPr>
          <w:sz w:val="24"/>
        </w:rPr>
      </w:pPr>
      <w:r>
        <w:rPr>
          <w:rFonts w:hint="eastAsia"/>
          <w:sz w:val="24"/>
        </w:rPr>
        <w:t>このようにみると、</w:t>
      </w:r>
      <w:r w:rsidR="00672E67">
        <w:rPr>
          <w:rFonts w:hint="eastAsia"/>
          <w:sz w:val="24"/>
        </w:rPr>
        <w:t>改正行訴法９条２項がいう</w:t>
      </w:r>
      <w:r>
        <w:rPr>
          <w:rFonts w:hint="eastAsia"/>
          <w:sz w:val="24"/>
        </w:rPr>
        <w:t>「</w:t>
      </w:r>
      <w:r w:rsidRPr="002256E4">
        <w:rPr>
          <w:rFonts w:hint="eastAsia"/>
          <w:sz w:val="24"/>
        </w:rPr>
        <w:t>当該処分がその根拠となる法令に違反してされた場合に害されることとなる利益</w:t>
      </w:r>
      <w:r>
        <w:rPr>
          <w:rFonts w:hint="eastAsia"/>
          <w:sz w:val="24"/>
        </w:rPr>
        <w:t>」とは、</w:t>
      </w:r>
      <w:r w:rsidR="00672E67">
        <w:rPr>
          <w:rFonts w:hint="eastAsia"/>
          <w:sz w:val="24"/>
        </w:rPr>
        <w:t>①</w:t>
      </w:r>
      <w:r w:rsidR="00717D53">
        <w:rPr>
          <w:rFonts w:hint="eastAsia"/>
          <w:sz w:val="24"/>
        </w:rPr>
        <w:t>「当該処分</w:t>
      </w:r>
      <w:r w:rsidR="00B57574" w:rsidRPr="002256E4">
        <w:rPr>
          <w:rFonts w:hint="eastAsia"/>
          <w:sz w:val="24"/>
        </w:rPr>
        <w:t>がその根拠となる法令に違反してされた場合</w:t>
      </w:r>
      <w:r w:rsidR="00717D53">
        <w:rPr>
          <w:rFonts w:hint="eastAsia"/>
          <w:sz w:val="24"/>
        </w:rPr>
        <w:t>に</w:t>
      </w:r>
      <w:r w:rsidR="00B57574">
        <w:rPr>
          <w:rFonts w:hint="eastAsia"/>
          <w:sz w:val="24"/>
        </w:rPr>
        <w:t>、当該処分</w:t>
      </w:r>
      <w:r w:rsidR="00A767D1">
        <w:rPr>
          <w:rFonts w:hint="eastAsia"/>
          <w:sz w:val="24"/>
        </w:rPr>
        <w:t>を前提として</w:t>
      </w:r>
      <w:r w:rsidR="00717D53">
        <w:rPr>
          <w:rFonts w:hint="eastAsia"/>
          <w:sz w:val="24"/>
        </w:rPr>
        <w:t>運用される施設（最新判例の事案では墓地等の</w:t>
      </w:r>
      <w:r w:rsidR="00717D53" w:rsidRPr="0067083E">
        <w:rPr>
          <w:rFonts w:hint="eastAsia"/>
          <w:sz w:val="24"/>
        </w:rPr>
        <w:t>埋葬施設</w:t>
      </w:r>
      <w:r w:rsidR="00717D53">
        <w:rPr>
          <w:rFonts w:hint="eastAsia"/>
          <w:sz w:val="24"/>
        </w:rPr>
        <w:t>）</w:t>
      </w:r>
      <w:r w:rsidR="00717D53" w:rsidRPr="0067083E">
        <w:rPr>
          <w:rFonts w:hint="eastAsia"/>
          <w:sz w:val="24"/>
        </w:rPr>
        <w:t>が</w:t>
      </w:r>
      <w:r w:rsidR="00717D53">
        <w:rPr>
          <w:rFonts w:hint="eastAsia"/>
          <w:sz w:val="24"/>
        </w:rPr>
        <w:t>もたらす</w:t>
      </w:r>
      <w:r w:rsidR="00717D53" w:rsidRPr="0067083E">
        <w:rPr>
          <w:rFonts w:hint="eastAsia"/>
          <w:sz w:val="24"/>
        </w:rPr>
        <w:t>周辺への悪影響</w:t>
      </w:r>
      <w:r w:rsidR="00717D53">
        <w:rPr>
          <w:rFonts w:hint="eastAsia"/>
          <w:sz w:val="24"/>
        </w:rPr>
        <w:t>（いわゆる、「負の外部性」ないし「外部不経済」）から保護されること</w:t>
      </w:r>
      <w:r w:rsidR="00672E67">
        <w:rPr>
          <w:rFonts w:hint="eastAsia"/>
          <w:sz w:val="24"/>
        </w:rPr>
        <w:t>が</w:t>
      </w:r>
      <w:r w:rsidR="00717D53">
        <w:rPr>
          <w:rFonts w:hint="eastAsia"/>
          <w:sz w:val="24"/>
        </w:rPr>
        <w:t>想定されている利益」を指しているということ</w:t>
      </w:r>
      <w:r w:rsidR="00672E67">
        <w:rPr>
          <w:rFonts w:hint="eastAsia"/>
          <w:sz w:val="24"/>
        </w:rPr>
        <w:t>、②</w:t>
      </w:r>
      <w:r w:rsidR="00DF2B63">
        <w:rPr>
          <w:rFonts w:hint="eastAsia"/>
          <w:sz w:val="24"/>
        </w:rPr>
        <w:t>そしてこれは実質的な利益侵害の有無という基準をもって判断されるべきであるということが、最高裁の考え方であるというべきである</w:t>
      </w:r>
      <w:r w:rsidR="00672E67">
        <w:rPr>
          <w:rFonts w:hint="eastAsia"/>
          <w:sz w:val="24"/>
        </w:rPr>
        <w:t>（②の見地から、</w:t>
      </w:r>
      <w:r w:rsidR="000A239A">
        <w:rPr>
          <w:rFonts w:hint="eastAsia"/>
          <w:sz w:val="24"/>
        </w:rPr>
        <w:t>例えば</w:t>
      </w:r>
      <w:r w:rsidR="00672E67">
        <w:rPr>
          <w:rFonts w:hint="eastAsia"/>
          <w:sz w:val="24"/>
        </w:rPr>
        <w:t>本件において騒音被害を受け</w:t>
      </w:r>
      <w:r w:rsidR="000A239A">
        <w:rPr>
          <w:rFonts w:hint="eastAsia"/>
          <w:sz w:val="24"/>
        </w:rPr>
        <w:t>得る</w:t>
      </w:r>
      <w:r w:rsidR="00672E67">
        <w:rPr>
          <w:rFonts w:hint="eastAsia"/>
          <w:sz w:val="24"/>
        </w:rPr>
        <w:t>ことから原告適格が認められるべき者の範囲を</w:t>
      </w:r>
      <w:r w:rsidR="000A239A">
        <w:rPr>
          <w:rFonts w:hint="eastAsia"/>
          <w:sz w:val="24"/>
        </w:rPr>
        <w:t>、</w:t>
      </w:r>
      <w:r w:rsidR="00672E67">
        <w:rPr>
          <w:rFonts w:hint="eastAsia"/>
          <w:sz w:val="24"/>
        </w:rPr>
        <w:t>「</w:t>
      </w:r>
      <w:r w:rsidR="00672E67">
        <w:rPr>
          <w:rFonts w:hint="eastAsia"/>
          <w:sz w:val="24"/>
        </w:rPr>
        <w:t>W</w:t>
      </w:r>
      <w:r w:rsidR="00672E67">
        <w:rPr>
          <w:rFonts w:hint="eastAsia"/>
          <w:sz w:val="24"/>
        </w:rPr>
        <w:t>値７５</w:t>
      </w:r>
      <w:r w:rsidR="000A239A">
        <w:rPr>
          <w:rFonts w:hint="eastAsia"/>
          <w:sz w:val="24"/>
        </w:rPr>
        <w:t>より内側の者</w:t>
      </w:r>
      <w:r w:rsidR="00672E67">
        <w:rPr>
          <w:rFonts w:hint="eastAsia"/>
          <w:sz w:val="24"/>
        </w:rPr>
        <w:t>」</w:t>
      </w:r>
      <w:r w:rsidR="000A239A">
        <w:rPr>
          <w:rFonts w:hint="eastAsia"/>
          <w:sz w:val="24"/>
        </w:rPr>
        <w:t>とする考え方は誤っているものというべきである。</w:t>
      </w:r>
      <w:r w:rsidR="00DF2B63">
        <w:rPr>
          <w:rFonts w:hint="eastAsia"/>
          <w:sz w:val="24"/>
        </w:rPr>
        <w:t>高さ制限や営業の利益についても同様のことが指摘し得るが、</w:t>
      </w:r>
      <w:r w:rsidR="00B97B86">
        <w:rPr>
          <w:rFonts w:hint="eastAsia"/>
          <w:sz w:val="24"/>
        </w:rPr>
        <w:t>これらに</w:t>
      </w:r>
      <w:r w:rsidR="000A239A">
        <w:rPr>
          <w:rFonts w:hint="eastAsia"/>
          <w:sz w:val="24"/>
        </w:rPr>
        <w:t>ついては追って詳述する予定である。</w:t>
      </w:r>
      <w:r w:rsidR="00672E67">
        <w:rPr>
          <w:rFonts w:hint="eastAsia"/>
          <w:sz w:val="24"/>
        </w:rPr>
        <w:t>）</w:t>
      </w:r>
      <w:r w:rsidR="00717D53">
        <w:rPr>
          <w:rFonts w:hint="eastAsia"/>
          <w:sz w:val="24"/>
        </w:rPr>
        <w:t>。</w:t>
      </w:r>
    </w:p>
    <w:p w14:paraId="4345A833" w14:textId="62299707" w:rsidR="00382944" w:rsidRPr="00343955" w:rsidRDefault="00554538" w:rsidP="00343955">
      <w:pPr>
        <w:pStyle w:val="2"/>
        <w:ind w:leftChars="112" w:left="992" w:hangingChars="213" w:hanging="675"/>
        <w:rPr>
          <w:rFonts w:ascii="ＭＳ ゴシック" w:eastAsia="ＭＳ ゴシック" w:hAnsi="ＭＳ ゴシック" w:cs="Times New Roman"/>
          <w:spacing w:val="2"/>
          <w:kern w:val="0"/>
          <w:szCs w:val="24"/>
        </w:rPr>
      </w:pPr>
      <w:bookmarkStart w:id="11" w:name="_Toc136612134"/>
      <w:r w:rsidRPr="00343955">
        <w:rPr>
          <w:rFonts w:ascii="ＭＳ ゴシック" w:eastAsia="ＭＳ ゴシック" w:hAnsi="ＭＳ ゴシック" w:cs="Times New Roman" w:hint="eastAsia"/>
          <w:spacing w:val="2"/>
          <w:kern w:val="0"/>
          <w:szCs w:val="24"/>
        </w:rPr>
        <w:t>（</w:t>
      </w:r>
      <w:r w:rsidR="00717D53" w:rsidRPr="00343955">
        <w:rPr>
          <w:rFonts w:ascii="ＭＳ ゴシック" w:eastAsia="ＭＳ ゴシック" w:hAnsi="ＭＳ ゴシック" w:cs="Times New Roman" w:hint="eastAsia"/>
          <w:spacing w:val="2"/>
          <w:kern w:val="0"/>
          <w:szCs w:val="24"/>
        </w:rPr>
        <w:t>４</w:t>
      </w:r>
      <w:r w:rsidRPr="00343955">
        <w:rPr>
          <w:rFonts w:ascii="ＭＳ ゴシック" w:eastAsia="ＭＳ ゴシック" w:hAnsi="ＭＳ ゴシック" w:cs="Times New Roman" w:hint="eastAsia"/>
          <w:spacing w:val="2"/>
          <w:kern w:val="0"/>
          <w:szCs w:val="24"/>
        </w:rPr>
        <w:t>）</w:t>
      </w:r>
      <w:r w:rsidR="00382944" w:rsidRPr="00343955">
        <w:rPr>
          <w:rFonts w:ascii="ＭＳ ゴシック" w:eastAsia="ＭＳ ゴシック" w:hAnsi="ＭＳ ゴシック" w:cs="Times New Roman" w:hint="eastAsia"/>
          <w:spacing w:val="2"/>
          <w:kern w:val="0"/>
          <w:szCs w:val="24"/>
        </w:rPr>
        <w:t>原告適格判断における審理のあり方について述べられたこと</w:t>
      </w:r>
      <w:bookmarkEnd w:id="11"/>
    </w:p>
    <w:p w14:paraId="62527AAD" w14:textId="77777777" w:rsidR="00382944" w:rsidRDefault="00382944" w:rsidP="00382944">
      <w:pPr>
        <w:ind w:leftChars="100" w:left="909" w:hangingChars="200" w:hanging="626"/>
        <w:rPr>
          <w:sz w:val="24"/>
        </w:rPr>
      </w:pPr>
      <w:r>
        <w:rPr>
          <w:rFonts w:hint="eastAsia"/>
          <w:sz w:val="24"/>
        </w:rPr>
        <w:t xml:space="preserve">　　　現代行政法を代表する学者である宇賀裁判官は「</w:t>
      </w:r>
      <w:r w:rsidRPr="006A7E94">
        <w:rPr>
          <w:rFonts w:hint="eastAsia"/>
          <w:sz w:val="24"/>
        </w:rPr>
        <w:t>訴訟の入口である原告適格の判断だけのために数年争われ、本案審理に更に数年を要するという非生産的な事態</w:t>
      </w:r>
      <w:r>
        <w:rPr>
          <w:rFonts w:hint="eastAsia"/>
          <w:sz w:val="24"/>
        </w:rPr>
        <w:t>」と指摘し、現在</w:t>
      </w:r>
      <w:r>
        <w:rPr>
          <w:rFonts w:hint="eastAsia"/>
          <w:sz w:val="24"/>
        </w:rPr>
        <w:lastRenderedPageBreak/>
        <w:t>の裁判実務に疑問を呈した。</w:t>
      </w:r>
    </w:p>
    <w:p w14:paraId="11392A00" w14:textId="29272F58" w:rsidR="00382944" w:rsidRDefault="00382944" w:rsidP="00382944">
      <w:pPr>
        <w:ind w:leftChars="100" w:left="909" w:hangingChars="200" w:hanging="626"/>
        <w:jc w:val="left"/>
        <w:rPr>
          <w:sz w:val="24"/>
        </w:rPr>
      </w:pPr>
      <w:r>
        <w:rPr>
          <w:rFonts w:hint="eastAsia"/>
          <w:sz w:val="24"/>
        </w:rPr>
        <w:t xml:space="preserve">　　　また、これを受けて、林裁判官</w:t>
      </w:r>
      <w:r w:rsidR="00B97B86">
        <w:rPr>
          <w:rFonts w:hint="eastAsia"/>
          <w:sz w:val="24"/>
        </w:rPr>
        <w:t>も</w:t>
      </w:r>
      <w:r>
        <w:rPr>
          <w:rFonts w:hint="eastAsia"/>
          <w:sz w:val="24"/>
        </w:rPr>
        <w:t>、「</w:t>
      </w:r>
      <w:r w:rsidRPr="0067083E">
        <w:rPr>
          <w:rFonts w:hint="eastAsia"/>
          <w:sz w:val="24"/>
        </w:rPr>
        <w:t>第三者の原告適格については、前記のとおり、行政事件訴訟法９条２項が追加された趣旨を踏まえた適切な判断が求められるところであって、審理を担当する裁判所としては、そのような判断に必要な限度を超えた主張立証が漫然と継続されることのないよう、十分に留意すべきである</w:t>
      </w:r>
      <w:r>
        <w:rPr>
          <w:rFonts w:hint="eastAsia"/>
          <w:sz w:val="24"/>
        </w:rPr>
        <w:t>」という諫言ともいうべき指摘をしており、現在の裁判実務において重く受け止められるべきである。</w:t>
      </w:r>
    </w:p>
    <w:p w14:paraId="565A6C6F" w14:textId="2C125DE4" w:rsidR="00BE555D" w:rsidRDefault="006A7E94" w:rsidP="007C2271">
      <w:pPr>
        <w:ind w:left="626" w:hangingChars="200" w:hanging="626"/>
        <w:jc w:val="left"/>
        <w:rPr>
          <w:sz w:val="24"/>
        </w:rPr>
      </w:pPr>
      <w:r>
        <w:rPr>
          <w:rFonts w:hint="eastAsia"/>
          <w:sz w:val="24"/>
        </w:rPr>
        <w:t xml:space="preserve">　３　以上を前提に、以下では、被告準備書面１がいかに</w:t>
      </w:r>
      <w:r w:rsidR="00602097">
        <w:rPr>
          <w:rFonts w:hint="eastAsia"/>
          <w:sz w:val="24"/>
        </w:rPr>
        <w:t>最新判例</w:t>
      </w:r>
      <w:r w:rsidR="007C2271">
        <w:rPr>
          <w:rFonts w:hint="eastAsia"/>
          <w:sz w:val="24"/>
        </w:rPr>
        <w:t>に矛盾するか（すなわち、行訴法９条２項に矛盾しているか）</w:t>
      </w:r>
      <w:r w:rsidR="00B97B86">
        <w:rPr>
          <w:rFonts w:hint="eastAsia"/>
          <w:sz w:val="24"/>
        </w:rPr>
        <w:t>について</w:t>
      </w:r>
      <w:r w:rsidR="007C2271">
        <w:rPr>
          <w:rFonts w:hint="eastAsia"/>
          <w:sz w:val="24"/>
        </w:rPr>
        <w:t>指摘する。</w:t>
      </w:r>
      <w:r w:rsidR="00B57574">
        <w:rPr>
          <w:rFonts w:hint="eastAsia"/>
          <w:sz w:val="24"/>
        </w:rPr>
        <w:t>なお、下記第２・１ないし４は、上記２（１）ないし（４）に対応して記述している。</w:t>
      </w:r>
    </w:p>
    <w:p w14:paraId="78E609AD" w14:textId="2C84F1FC" w:rsidR="00BE555D" w:rsidRPr="00343955" w:rsidRDefault="00BE555D" w:rsidP="00343955">
      <w:pPr>
        <w:pStyle w:val="1"/>
        <w:rPr>
          <w:rFonts w:ascii="ＭＳ ゴシック" w:eastAsia="ＭＳ ゴシック" w:hAnsi="ＭＳ ゴシック" w:cs="ＭＳ 明朝"/>
          <w:color w:val="000000"/>
        </w:rPr>
      </w:pPr>
      <w:bookmarkStart w:id="12" w:name="_Toc136612135"/>
      <w:r w:rsidRPr="00343955">
        <w:rPr>
          <w:rFonts w:ascii="ＭＳ ゴシック" w:eastAsia="ＭＳ ゴシック" w:hAnsi="ＭＳ ゴシック" w:cs="ＭＳ 明朝" w:hint="eastAsia"/>
          <w:color w:val="000000"/>
        </w:rPr>
        <w:t>第２　被告</w:t>
      </w:r>
      <w:r w:rsidR="00EE3129" w:rsidRPr="00343955">
        <w:rPr>
          <w:rFonts w:ascii="ＭＳ ゴシック" w:eastAsia="ＭＳ ゴシック" w:hAnsi="ＭＳ ゴシック" w:cs="ＭＳ 明朝" w:hint="eastAsia"/>
          <w:color w:val="000000"/>
        </w:rPr>
        <w:t>準備書面１</w:t>
      </w:r>
      <w:r w:rsidRPr="00343955">
        <w:rPr>
          <w:rFonts w:ascii="ＭＳ ゴシック" w:eastAsia="ＭＳ ゴシック" w:hAnsi="ＭＳ ゴシック" w:cs="ＭＳ 明朝" w:hint="eastAsia"/>
          <w:color w:val="000000"/>
        </w:rPr>
        <w:t>について</w:t>
      </w:r>
      <w:bookmarkEnd w:id="12"/>
    </w:p>
    <w:p w14:paraId="202364C9" w14:textId="6D794011" w:rsidR="00EE3129" w:rsidRDefault="00EE3129" w:rsidP="00EE3129">
      <w:pPr>
        <w:jc w:val="left"/>
        <w:rPr>
          <w:sz w:val="24"/>
        </w:rPr>
      </w:pPr>
      <w:r>
        <w:rPr>
          <w:rFonts w:hint="eastAsia"/>
          <w:sz w:val="24"/>
        </w:rPr>
        <w:t xml:space="preserve">　　　被告は準備書面１において、次のとおり主張する。</w:t>
      </w:r>
    </w:p>
    <w:p w14:paraId="17593CA2" w14:textId="77616350" w:rsidR="00EE3129" w:rsidRDefault="00EE3129" w:rsidP="00EE3129">
      <w:pPr>
        <w:ind w:leftChars="119" w:left="1276" w:hangingChars="300" w:hanging="939"/>
        <w:jc w:val="left"/>
        <w:rPr>
          <w:sz w:val="24"/>
        </w:rPr>
      </w:pPr>
      <w:r>
        <w:rPr>
          <w:rFonts w:hint="eastAsia"/>
          <w:sz w:val="24"/>
        </w:rPr>
        <w:t xml:space="preserve">　　　「当初の免許（承認）は埋立法４条１工学号を処分根拠法令とするものであるのに対し、その内容の一部を変更する変更許可（承認）は、単純にこれと同一に同項各号のみを処分の根拠法令とするものではなく、変更事項を限定する旨を規定する同法１３条ノ２をも処分根拠法令とするものである。</w:t>
      </w:r>
    </w:p>
    <w:p w14:paraId="53B3F598" w14:textId="77777777" w:rsidR="00EE3129" w:rsidRDefault="00EE3129" w:rsidP="00EE3129">
      <w:pPr>
        <w:ind w:leftChars="119" w:left="1276" w:hangingChars="300" w:hanging="939"/>
        <w:jc w:val="left"/>
        <w:rPr>
          <w:sz w:val="24"/>
        </w:rPr>
      </w:pPr>
      <w:r>
        <w:rPr>
          <w:rFonts w:hint="eastAsia"/>
          <w:sz w:val="24"/>
        </w:rPr>
        <w:t xml:space="preserve">　　　　この処分の根拠法令の差異により、変更許可（承認）における審査・判断の対象は、当初の免許（承認）申請における審査・判断の対象とは異なり、具体的な変更事由・内容に照らして、埋立法１３条ノ２第２項が準用する同法４条１項各号及び同法１３条ノ２第１項の「正当ノ事由」の</w:t>
      </w:r>
      <w:r>
        <w:rPr>
          <w:rFonts w:hint="eastAsia"/>
          <w:sz w:val="24"/>
        </w:rPr>
        <w:lastRenderedPageBreak/>
        <w:t>該当性が認められるか否かであるから、この具体的な変更事由・内容によって審理・判断すべき対象が画されることとなる。</w:t>
      </w:r>
    </w:p>
    <w:p w14:paraId="1F0FE97E" w14:textId="77777777" w:rsidR="00EE3129" w:rsidRDefault="00EE3129" w:rsidP="00EE3129">
      <w:pPr>
        <w:ind w:leftChars="119" w:left="1276" w:hangingChars="300" w:hanging="939"/>
        <w:jc w:val="left"/>
        <w:rPr>
          <w:sz w:val="24"/>
        </w:rPr>
      </w:pPr>
      <w:r>
        <w:rPr>
          <w:rFonts w:hint="eastAsia"/>
          <w:sz w:val="24"/>
        </w:rPr>
        <w:t xml:space="preserve">　　　　（中略）</w:t>
      </w:r>
    </w:p>
    <w:p w14:paraId="74BAB10D" w14:textId="7FD3E923" w:rsidR="00EE3129" w:rsidRDefault="00EE3129" w:rsidP="00EE3129">
      <w:pPr>
        <w:ind w:leftChars="119" w:left="1276" w:hangingChars="300" w:hanging="939"/>
        <w:jc w:val="left"/>
        <w:rPr>
          <w:sz w:val="24"/>
        </w:rPr>
      </w:pPr>
      <w:r>
        <w:rPr>
          <w:rFonts w:hint="eastAsia"/>
          <w:sz w:val="24"/>
        </w:rPr>
        <w:t xml:space="preserve">　　　　以上のとおり、それぞれの処分は、処分の根拠法令を異にするのであり、異なる根拠法令に基づく以上、審理・判断すべき対象とそれによる効果も異なるのであるから、それに伴って、考慮されるべき利益の内容・性質も異なることになる。したがって、当初の免許（承認）の取消訴訟の原告適格が認められる範囲と変更許可（承認）の取消訴訟、さらには変更不許可（不承認）を取り消した裁決の取消訴訟の原告適格が認められる範囲が同一にならないのは、むしろ当然である。」</w:t>
      </w:r>
    </w:p>
    <w:p w14:paraId="14D0D1A8" w14:textId="2B1730FE" w:rsidR="005A0045" w:rsidRDefault="005A0045" w:rsidP="005A0045">
      <w:pPr>
        <w:ind w:leftChars="419" w:left="1186"/>
        <w:jc w:val="left"/>
        <w:rPr>
          <w:sz w:val="24"/>
        </w:rPr>
      </w:pPr>
      <w:r>
        <w:rPr>
          <w:rFonts w:hint="eastAsia"/>
          <w:sz w:val="24"/>
        </w:rPr>
        <w:t>「埋立法４２条３項が準用する同法１３条ノ２第１項並びに同法４条１項１号及び２号を根拠法令とする本件裁決の取消しを求める法律上の利益は、本件変更不承認処分を取り消した本件裁決に当たって審理・判断の対象とされるべき内容、すなわち、本件変更承認申請の内容及びそれを不承認とした事由との関係で、原告らの個別的な利益が侵害されるおそれがあるか否かが判断されるべきである。」</w:t>
      </w:r>
    </w:p>
    <w:p w14:paraId="4333B985" w14:textId="77777777" w:rsidR="00EE3129" w:rsidRPr="00343955" w:rsidRDefault="00EE3129" w:rsidP="00343955">
      <w:pPr>
        <w:pStyle w:val="2"/>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13" w:name="_Toc136612136"/>
      <w:r w:rsidRPr="00343955">
        <w:rPr>
          <w:rFonts w:ascii="ＭＳ ゴシック" w:eastAsia="ＭＳ ゴシック" w:hAnsi="ＭＳ ゴシック" w:cs="Times New Roman" w:hint="eastAsia"/>
          <w:spacing w:val="2"/>
          <w:kern w:val="0"/>
          <w:szCs w:val="24"/>
        </w:rPr>
        <w:t>１　法令の文言の形式的解釈に拘泥していること</w:t>
      </w:r>
      <w:bookmarkEnd w:id="13"/>
    </w:p>
    <w:p w14:paraId="049D776F" w14:textId="2D7D8F93" w:rsidR="007C2271" w:rsidRDefault="00EE3129" w:rsidP="00602097">
      <w:pPr>
        <w:ind w:left="626" w:hangingChars="200" w:hanging="626"/>
        <w:jc w:val="left"/>
        <w:rPr>
          <w:sz w:val="24"/>
        </w:rPr>
      </w:pPr>
      <w:r>
        <w:rPr>
          <w:rFonts w:hint="eastAsia"/>
          <w:sz w:val="24"/>
        </w:rPr>
        <w:t xml:space="preserve">　　　</w:t>
      </w:r>
      <w:r w:rsidR="00602097">
        <w:rPr>
          <w:rFonts w:hint="eastAsia"/>
          <w:sz w:val="24"/>
        </w:rPr>
        <w:t>最新判例の論旨に</w:t>
      </w:r>
      <w:r w:rsidR="00382944">
        <w:rPr>
          <w:rFonts w:hint="eastAsia"/>
          <w:sz w:val="24"/>
        </w:rPr>
        <w:t>照らせば</w:t>
      </w:r>
      <w:r w:rsidR="00602097">
        <w:rPr>
          <w:rFonts w:hint="eastAsia"/>
          <w:sz w:val="24"/>
        </w:rPr>
        <w:t>、上記のような被告の主張が</w:t>
      </w:r>
      <w:r w:rsidR="00602097" w:rsidRPr="00B236FF">
        <w:rPr>
          <w:rFonts w:hint="eastAsia"/>
          <w:sz w:val="24"/>
        </w:rPr>
        <w:t>法令の文言の形式的解釈に拘泥</w:t>
      </w:r>
      <w:r w:rsidR="00602097">
        <w:rPr>
          <w:rFonts w:hint="eastAsia"/>
          <w:sz w:val="24"/>
        </w:rPr>
        <w:t>していることは、一目瞭然である。</w:t>
      </w:r>
    </w:p>
    <w:p w14:paraId="68DCD516" w14:textId="77777777" w:rsidR="00516852" w:rsidRDefault="00602097" w:rsidP="001946F0">
      <w:pPr>
        <w:ind w:left="626" w:hangingChars="200" w:hanging="626"/>
        <w:jc w:val="left"/>
        <w:rPr>
          <w:sz w:val="24"/>
        </w:rPr>
      </w:pPr>
      <w:r>
        <w:rPr>
          <w:rFonts w:hint="eastAsia"/>
          <w:sz w:val="24"/>
        </w:rPr>
        <w:t xml:space="preserve">　　　</w:t>
      </w:r>
      <w:r w:rsidR="00240887">
        <w:rPr>
          <w:rFonts w:hint="eastAsia"/>
          <w:sz w:val="24"/>
        </w:rPr>
        <w:t>最新判例は、許可要件を具体的に定めていない</w:t>
      </w:r>
      <w:r>
        <w:rPr>
          <w:rFonts w:hint="eastAsia"/>
          <w:sz w:val="24"/>
        </w:rPr>
        <w:t>墓埋法</w:t>
      </w:r>
      <w:r w:rsidR="00240887">
        <w:rPr>
          <w:rFonts w:hint="eastAsia"/>
          <w:sz w:val="24"/>
        </w:rPr>
        <w:t>ですら</w:t>
      </w:r>
      <w:r w:rsidR="00C63C42">
        <w:rPr>
          <w:rFonts w:hint="eastAsia"/>
          <w:sz w:val="24"/>
        </w:rPr>
        <w:t>、</w:t>
      </w:r>
      <w:r w:rsidR="00240887">
        <w:rPr>
          <w:rFonts w:hint="eastAsia"/>
          <w:sz w:val="24"/>
        </w:rPr>
        <w:t>その根拠法令の条項（同法１０条）に拘泥するのではなく、同法の目的（同法１条）に遡り、同法と趣旨及び目的を同じくす</w:t>
      </w:r>
      <w:r w:rsidR="00240887">
        <w:rPr>
          <w:rFonts w:hint="eastAsia"/>
          <w:sz w:val="24"/>
        </w:rPr>
        <w:lastRenderedPageBreak/>
        <w:t>る定めを考慮し</w:t>
      </w:r>
      <w:r w:rsidR="001946F0">
        <w:rPr>
          <w:rFonts w:hint="eastAsia"/>
          <w:sz w:val="24"/>
        </w:rPr>
        <w:t>た上で</w:t>
      </w:r>
      <w:r w:rsidR="00240887">
        <w:rPr>
          <w:rFonts w:hint="eastAsia"/>
          <w:sz w:val="24"/>
        </w:rPr>
        <w:t>、</w:t>
      </w:r>
      <w:r w:rsidR="001946F0">
        <w:rPr>
          <w:rFonts w:hint="eastAsia"/>
          <w:sz w:val="24"/>
        </w:rPr>
        <w:t>結論を導いている。</w:t>
      </w:r>
    </w:p>
    <w:p w14:paraId="53FC2F10" w14:textId="323268C8" w:rsidR="00CD1215" w:rsidRDefault="00CD1215" w:rsidP="00CD1215">
      <w:pPr>
        <w:ind w:leftChars="200" w:left="566" w:firstLineChars="100" w:firstLine="313"/>
        <w:jc w:val="left"/>
        <w:rPr>
          <w:sz w:val="24"/>
        </w:rPr>
      </w:pPr>
      <w:r>
        <w:rPr>
          <w:rFonts w:hint="eastAsia"/>
          <w:sz w:val="24"/>
        </w:rPr>
        <w:t>例えば、</w:t>
      </w:r>
      <w:r w:rsidRPr="00441DFD">
        <w:rPr>
          <w:rFonts w:hint="eastAsia"/>
          <w:sz w:val="24"/>
        </w:rPr>
        <w:t>「墓埋法１０条の目的と</w:t>
      </w:r>
      <w:r>
        <w:rPr>
          <w:rFonts w:hint="eastAsia"/>
          <w:sz w:val="24"/>
        </w:rPr>
        <w:t>、</w:t>
      </w:r>
      <w:r w:rsidRPr="00441DFD">
        <w:rPr>
          <w:rFonts w:hint="eastAsia"/>
          <w:sz w:val="24"/>
        </w:rPr>
        <w:t>墓埋法１１条の目的は異なる」だとか、「墓埋法１０条１項の目的と</w:t>
      </w:r>
      <w:r>
        <w:rPr>
          <w:rFonts w:hint="eastAsia"/>
          <w:sz w:val="24"/>
        </w:rPr>
        <w:t>、</w:t>
      </w:r>
      <w:r w:rsidRPr="00441DFD">
        <w:rPr>
          <w:rFonts w:hint="eastAsia"/>
          <w:sz w:val="24"/>
        </w:rPr>
        <w:t>墓埋法１０条２項の目的は異なる」という判断は、およそ改正行訴法９条２項の解釈適用としてはあり得ないことを</w:t>
      </w:r>
      <w:r>
        <w:rPr>
          <w:rFonts w:hint="eastAsia"/>
          <w:sz w:val="24"/>
        </w:rPr>
        <w:t>端点に示したことは、前記のとおりである。</w:t>
      </w:r>
    </w:p>
    <w:p w14:paraId="3EA5B9EB" w14:textId="77777777" w:rsidR="00CD1215" w:rsidRDefault="001946F0" w:rsidP="001946F0">
      <w:pPr>
        <w:ind w:leftChars="200" w:left="566" w:firstLineChars="100" w:firstLine="313"/>
        <w:jc w:val="left"/>
        <w:rPr>
          <w:sz w:val="24"/>
        </w:rPr>
      </w:pPr>
      <w:r>
        <w:rPr>
          <w:rFonts w:hint="eastAsia"/>
          <w:sz w:val="24"/>
        </w:rPr>
        <w:t>これに対して、本件で検討対象となる</w:t>
      </w:r>
      <w:r w:rsidR="00240887">
        <w:rPr>
          <w:rFonts w:hint="eastAsia"/>
          <w:sz w:val="24"/>
        </w:rPr>
        <w:t>埋立法</w:t>
      </w:r>
      <w:r>
        <w:rPr>
          <w:rFonts w:hint="eastAsia"/>
          <w:sz w:val="24"/>
        </w:rPr>
        <w:t>は、法それ自体が、</w:t>
      </w:r>
      <w:r w:rsidR="00240887">
        <w:rPr>
          <w:rFonts w:hint="eastAsia"/>
          <w:sz w:val="24"/>
        </w:rPr>
        <w:t>４条１項各号</w:t>
      </w:r>
      <w:r>
        <w:rPr>
          <w:rFonts w:hint="eastAsia"/>
          <w:sz w:val="24"/>
        </w:rPr>
        <w:t>において</w:t>
      </w:r>
      <w:r w:rsidR="00C63C42">
        <w:rPr>
          <w:rFonts w:hint="eastAsia"/>
          <w:sz w:val="24"/>
        </w:rPr>
        <w:t>免許（承認）の要件を</w:t>
      </w:r>
      <w:r w:rsidR="00240887">
        <w:rPr>
          <w:rFonts w:hint="eastAsia"/>
          <w:sz w:val="24"/>
        </w:rPr>
        <w:t>具体的に定めている</w:t>
      </w:r>
      <w:r w:rsidR="00CD1215">
        <w:rPr>
          <w:rFonts w:hint="eastAsia"/>
          <w:sz w:val="24"/>
        </w:rPr>
        <w:t>。被告が指摘する１３条ノ２や４２条３項も、全く同じ埋立法に定められている。</w:t>
      </w:r>
    </w:p>
    <w:p w14:paraId="05DBDE20" w14:textId="79D14BEF" w:rsidR="001946F0" w:rsidRDefault="00CD1215" w:rsidP="001946F0">
      <w:pPr>
        <w:ind w:leftChars="200" w:left="566" w:firstLineChars="100" w:firstLine="313"/>
        <w:jc w:val="left"/>
        <w:rPr>
          <w:sz w:val="24"/>
        </w:rPr>
      </w:pPr>
      <w:r>
        <w:rPr>
          <w:rFonts w:hint="eastAsia"/>
          <w:sz w:val="24"/>
        </w:rPr>
        <w:t>このように、</w:t>
      </w:r>
      <w:r w:rsidR="005A0045">
        <w:rPr>
          <w:rFonts w:hint="eastAsia"/>
          <w:sz w:val="24"/>
        </w:rPr>
        <w:t>全く同じ埋立法に定められた４条１項</w:t>
      </w:r>
      <w:r w:rsidR="001946F0">
        <w:rPr>
          <w:rFonts w:hint="eastAsia"/>
          <w:sz w:val="24"/>
        </w:rPr>
        <w:t>各号</w:t>
      </w:r>
      <w:r w:rsidR="00C8200E">
        <w:rPr>
          <w:rFonts w:hint="eastAsia"/>
          <w:sz w:val="24"/>
        </w:rPr>
        <w:t>や１３条ノ２や４２条３項</w:t>
      </w:r>
      <w:r w:rsidR="005A0045">
        <w:rPr>
          <w:rFonts w:hint="eastAsia"/>
          <w:sz w:val="24"/>
        </w:rPr>
        <w:t>が、その</w:t>
      </w:r>
      <w:r w:rsidR="00A71523">
        <w:rPr>
          <w:rFonts w:hint="eastAsia"/>
          <w:sz w:val="24"/>
        </w:rPr>
        <w:t>規定ごとに</w:t>
      </w:r>
      <w:r w:rsidR="005A0045">
        <w:rPr>
          <w:rFonts w:hint="eastAsia"/>
          <w:sz w:val="24"/>
        </w:rPr>
        <w:t>趣旨及び</w:t>
      </w:r>
      <w:r w:rsidR="001946F0">
        <w:rPr>
          <w:rFonts w:hint="eastAsia"/>
          <w:sz w:val="24"/>
        </w:rPr>
        <w:t>目的</w:t>
      </w:r>
      <w:r w:rsidR="005A0045">
        <w:rPr>
          <w:rFonts w:hint="eastAsia"/>
          <w:sz w:val="24"/>
        </w:rPr>
        <w:t>を</w:t>
      </w:r>
      <w:r w:rsidR="001946F0">
        <w:rPr>
          <w:rFonts w:hint="eastAsia"/>
          <w:sz w:val="24"/>
        </w:rPr>
        <w:t>異</w:t>
      </w:r>
      <w:r w:rsidR="005A0045">
        <w:rPr>
          <w:rFonts w:hint="eastAsia"/>
          <w:sz w:val="24"/>
        </w:rPr>
        <w:t>にす</w:t>
      </w:r>
      <w:r w:rsidR="001946F0">
        <w:rPr>
          <w:rFonts w:hint="eastAsia"/>
          <w:sz w:val="24"/>
        </w:rPr>
        <w:t>ると解する余地は</w:t>
      </w:r>
      <w:r>
        <w:rPr>
          <w:rFonts w:hint="eastAsia"/>
          <w:sz w:val="24"/>
        </w:rPr>
        <w:t>、改正行訴法９条２項の下では</w:t>
      </w:r>
      <w:r w:rsidR="005A0045">
        <w:rPr>
          <w:rFonts w:hint="eastAsia"/>
          <w:sz w:val="24"/>
        </w:rPr>
        <w:t>一切</w:t>
      </w:r>
      <w:r w:rsidR="001946F0">
        <w:rPr>
          <w:rFonts w:hint="eastAsia"/>
          <w:sz w:val="24"/>
        </w:rPr>
        <w:t>ない</w:t>
      </w:r>
      <w:r>
        <w:rPr>
          <w:rFonts w:hint="eastAsia"/>
          <w:sz w:val="24"/>
        </w:rPr>
        <w:t>ということを、最新判例が端的に示している</w:t>
      </w:r>
      <w:r w:rsidR="00B97B86">
        <w:rPr>
          <w:rFonts w:hint="eastAsia"/>
          <w:sz w:val="24"/>
        </w:rPr>
        <w:t>のである</w:t>
      </w:r>
      <w:r>
        <w:rPr>
          <w:rFonts w:hint="eastAsia"/>
          <w:sz w:val="24"/>
        </w:rPr>
        <w:t>。</w:t>
      </w:r>
    </w:p>
    <w:p w14:paraId="693B8339" w14:textId="3ACE598C" w:rsidR="00A71523" w:rsidRDefault="00A71523" w:rsidP="001946F0">
      <w:pPr>
        <w:ind w:leftChars="200" w:left="566" w:firstLineChars="100" w:firstLine="313"/>
        <w:jc w:val="left"/>
        <w:rPr>
          <w:sz w:val="24"/>
        </w:rPr>
      </w:pPr>
      <w:r>
        <w:rPr>
          <w:rFonts w:hint="eastAsia"/>
          <w:sz w:val="24"/>
        </w:rPr>
        <w:t>この一点からして、４条１項各号を分離して、あるいは１３条ノ２が加わっただけで</w:t>
      </w:r>
      <w:r w:rsidR="00C8200E">
        <w:rPr>
          <w:rFonts w:hint="eastAsia"/>
          <w:sz w:val="24"/>
        </w:rPr>
        <w:t>、あるいは４２条３項が準用する形をとるというだけで、</w:t>
      </w:r>
      <w:r>
        <w:rPr>
          <w:rFonts w:hint="eastAsia"/>
          <w:sz w:val="24"/>
        </w:rPr>
        <w:t>原告適格が認められる範囲が異なる</w:t>
      </w:r>
      <w:r w:rsidR="00C8200E">
        <w:rPr>
          <w:rFonts w:hint="eastAsia"/>
          <w:sz w:val="24"/>
        </w:rPr>
        <w:t>かのように</w:t>
      </w:r>
      <w:r>
        <w:rPr>
          <w:rFonts w:hint="eastAsia"/>
          <w:sz w:val="24"/>
        </w:rPr>
        <w:t>曲解して、</w:t>
      </w:r>
      <w:r w:rsidR="007B3049">
        <w:rPr>
          <w:rFonts w:hint="eastAsia"/>
          <w:sz w:val="24"/>
        </w:rPr>
        <w:t>すなわち、</w:t>
      </w:r>
      <w:r w:rsidR="007B3049" w:rsidRPr="00B236FF">
        <w:rPr>
          <w:rFonts w:hint="eastAsia"/>
          <w:sz w:val="24"/>
        </w:rPr>
        <w:t>法令の文言の形式的解釈に拘泥</w:t>
      </w:r>
      <w:r w:rsidR="007B3049">
        <w:rPr>
          <w:rFonts w:hint="eastAsia"/>
          <w:sz w:val="24"/>
        </w:rPr>
        <w:t>して、</w:t>
      </w:r>
      <w:r>
        <w:rPr>
          <w:rFonts w:hint="eastAsia"/>
          <w:sz w:val="24"/>
        </w:rPr>
        <w:t>本件原告らの原告適格を否定しようとする被告の主張は、もはや改正行訴法にも、</w:t>
      </w:r>
      <w:r w:rsidR="00C8200E">
        <w:rPr>
          <w:rFonts w:hint="eastAsia"/>
          <w:sz w:val="24"/>
        </w:rPr>
        <w:t>その解釈適用の指針を示した</w:t>
      </w:r>
      <w:r>
        <w:rPr>
          <w:rFonts w:hint="eastAsia"/>
          <w:sz w:val="24"/>
        </w:rPr>
        <w:t>最新判例にも整合しないことは明らかで</w:t>
      </w:r>
      <w:r w:rsidR="00C8200E">
        <w:rPr>
          <w:rFonts w:hint="eastAsia"/>
          <w:sz w:val="24"/>
        </w:rPr>
        <w:t>ある。</w:t>
      </w:r>
    </w:p>
    <w:p w14:paraId="0818323F" w14:textId="755694E4" w:rsidR="00A71523" w:rsidRPr="00343955" w:rsidRDefault="00A71523" w:rsidP="00343955">
      <w:pPr>
        <w:pStyle w:val="2"/>
        <w:ind w:left="564" w:hangingChars="178" w:hanging="564"/>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14" w:name="_Toc136612137"/>
      <w:r w:rsidRPr="00343955">
        <w:rPr>
          <w:rFonts w:ascii="ＭＳ ゴシック" w:eastAsia="ＭＳ ゴシック" w:hAnsi="ＭＳ ゴシック" w:cs="Times New Roman" w:hint="eastAsia"/>
          <w:spacing w:val="2"/>
          <w:kern w:val="0"/>
          <w:szCs w:val="24"/>
        </w:rPr>
        <w:t>２　埋立法と目的を共通にする関係法令を</w:t>
      </w:r>
      <w:r w:rsidR="007B3049" w:rsidRPr="00343955">
        <w:rPr>
          <w:rFonts w:ascii="ＭＳ ゴシック" w:eastAsia="ＭＳ ゴシック" w:hAnsi="ＭＳ ゴシック" w:cs="Times New Roman" w:hint="eastAsia"/>
          <w:spacing w:val="2"/>
          <w:kern w:val="0"/>
          <w:szCs w:val="24"/>
        </w:rPr>
        <w:t>考慮しようとしていないこと</w:t>
      </w:r>
      <w:bookmarkEnd w:id="14"/>
    </w:p>
    <w:p w14:paraId="413359C9" w14:textId="62C0A3C3" w:rsidR="00A71523" w:rsidRDefault="007B3049" w:rsidP="007B3049">
      <w:pPr>
        <w:ind w:leftChars="200" w:left="566" w:firstLineChars="100" w:firstLine="313"/>
        <w:rPr>
          <w:sz w:val="24"/>
        </w:rPr>
      </w:pPr>
      <w:r>
        <w:rPr>
          <w:rFonts w:hint="eastAsia"/>
          <w:sz w:val="24"/>
        </w:rPr>
        <w:t>被告の主張が破綻していることは、上記１で既に尽くされているが、加えて指摘すると、被告の主張は行訴法９条２項が求める「</w:t>
      </w:r>
      <w:r w:rsidRPr="007B3049">
        <w:rPr>
          <w:rFonts w:hint="eastAsia"/>
          <w:sz w:val="24"/>
        </w:rPr>
        <w:t>当該法令と目的を共通にする関係法令があるときはその</w:t>
      </w:r>
      <w:r w:rsidRPr="007B3049">
        <w:rPr>
          <w:rFonts w:hint="eastAsia"/>
          <w:sz w:val="24"/>
        </w:rPr>
        <w:lastRenderedPageBreak/>
        <w:t>趣旨及び目的をも参酌</w:t>
      </w:r>
      <w:r>
        <w:rPr>
          <w:rFonts w:hint="eastAsia"/>
          <w:sz w:val="24"/>
        </w:rPr>
        <w:t>」するということ自体も一切考慮に入れていない</w:t>
      </w:r>
      <w:r w:rsidR="00B97B86">
        <w:rPr>
          <w:rFonts w:hint="eastAsia"/>
          <w:sz w:val="24"/>
        </w:rPr>
        <w:t>点でも破綻していると言わざるを得ない</w:t>
      </w:r>
      <w:r>
        <w:rPr>
          <w:rFonts w:hint="eastAsia"/>
          <w:sz w:val="24"/>
        </w:rPr>
        <w:t>。</w:t>
      </w:r>
    </w:p>
    <w:p w14:paraId="6CC73651" w14:textId="28D3EF99" w:rsidR="00C8200E" w:rsidRDefault="00C63C42" w:rsidP="00240887">
      <w:pPr>
        <w:ind w:left="626" w:hangingChars="200" w:hanging="626"/>
        <w:jc w:val="left"/>
        <w:rPr>
          <w:sz w:val="24"/>
        </w:rPr>
      </w:pPr>
      <w:r>
        <w:rPr>
          <w:rFonts w:hint="eastAsia"/>
          <w:sz w:val="24"/>
        </w:rPr>
        <w:t xml:space="preserve">　　　</w:t>
      </w:r>
      <w:r w:rsidRPr="00C63C42">
        <w:rPr>
          <w:rFonts w:hint="eastAsia"/>
          <w:sz w:val="24"/>
        </w:rPr>
        <w:t>埋立法</w:t>
      </w:r>
      <w:r w:rsidR="00C8200E">
        <w:rPr>
          <w:rFonts w:hint="eastAsia"/>
          <w:sz w:val="24"/>
        </w:rPr>
        <w:t>の目的（何度も指摘するが、「同法４条１項１号の目的」や「同法４条１項２号の目的」という意味では無く、埋立法自体の目的を指す）と趣旨及び目的を共通にする関係法令を参酌すべきであることは、最新判例を指摘するまでもなく、改正行訴法９条２項が求めていることであり</w:t>
      </w:r>
      <w:r w:rsidR="00441DFD">
        <w:rPr>
          <w:rFonts w:hint="eastAsia"/>
          <w:sz w:val="24"/>
        </w:rPr>
        <w:t>、やはり</w:t>
      </w:r>
      <w:r w:rsidR="00C8200E">
        <w:rPr>
          <w:rFonts w:hint="eastAsia"/>
          <w:sz w:val="24"/>
        </w:rPr>
        <w:t>最新判例も</w:t>
      </w:r>
      <w:r w:rsidR="00441DFD">
        <w:rPr>
          <w:rFonts w:hint="eastAsia"/>
          <w:sz w:val="24"/>
        </w:rPr>
        <w:t>、改正行訴法</w:t>
      </w:r>
      <w:r w:rsidR="00C8200E">
        <w:rPr>
          <w:rFonts w:hint="eastAsia"/>
          <w:sz w:val="24"/>
        </w:rPr>
        <w:t>に基づき関係法令（最新判例では細則）を参酌している。</w:t>
      </w:r>
    </w:p>
    <w:p w14:paraId="78B147C3" w14:textId="1EC42502" w:rsidR="00441DFD" w:rsidRDefault="00C8200E" w:rsidP="00C8200E">
      <w:pPr>
        <w:ind w:leftChars="200" w:left="566" w:firstLineChars="100" w:firstLine="313"/>
        <w:jc w:val="left"/>
        <w:rPr>
          <w:sz w:val="24"/>
        </w:rPr>
      </w:pPr>
      <w:r>
        <w:rPr>
          <w:rFonts w:hint="eastAsia"/>
          <w:sz w:val="24"/>
        </w:rPr>
        <w:t>本件でも、埋立法と</w:t>
      </w:r>
      <w:r w:rsidR="00C63C42" w:rsidRPr="00C63C42">
        <w:rPr>
          <w:rFonts w:hint="eastAsia"/>
          <w:sz w:val="24"/>
        </w:rPr>
        <w:t>その</w:t>
      </w:r>
      <w:r>
        <w:rPr>
          <w:rFonts w:hint="eastAsia"/>
          <w:sz w:val="24"/>
        </w:rPr>
        <w:t>趣旨及び目的を</w:t>
      </w:r>
      <w:r w:rsidR="00441DFD">
        <w:rPr>
          <w:rFonts w:hint="eastAsia"/>
          <w:sz w:val="24"/>
        </w:rPr>
        <w:t>共通にする</w:t>
      </w:r>
      <w:r w:rsidR="00C63C42" w:rsidRPr="00C63C42">
        <w:rPr>
          <w:rFonts w:hint="eastAsia"/>
          <w:sz w:val="24"/>
        </w:rPr>
        <w:t>関係法令（</w:t>
      </w:r>
      <w:r>
        <w:rPr>
          <w:rFonts w:hint="eastAsia"/>
          <w:sz w:val="24"/>
        </w:rPr>
        <w:t>環境基本法、</w:t>
      </w:r>
      <w:r w:rsidR="00C63C42" w:rsidRPr="00C63C42">
        <w:rPr>
          <w:rFonts w:hint="eastAsia"/>
          <w:sz w:val="24"/>
        </w:rPr>
        <w:t>環境影響評価法、沖縄県環境影響評価条例等）</w:t>
      </w:r>
      <w:r w:rsidR="00441DFD">
        <w:rPr>
          <w:rFonts w:hint="eastAsia"/>
          <w:sz w:val="24"/>
        </w:rPr>
        <w:t>の趣旨及び目的（何度も指摘するが、これも各法令を条・項・号に裁断して求める趣旨及び目的ではなく、それらの法令そのものが企図している趣旨及び目的を指している）</w:t>
      </w:r>
      <w:r w:rsidR="00C63C42" w:rsidRPr="00C63C42">
        <w:rPr>
          <w:rFonts w:hint="eastAsia"/>
          <w:sz w:val="24"/>
        </w:rPr>
        <w:t>を</w:t>
      </w:r>
      <w:r w:rsidR="00DB4B38">
        <w:rPr>
          <w:rFonts w:hint="eastAsia"/>
          <w:sz w:val="24"/>
        </w:rPr>
        <w:t>も考慮</w:t>
      </w:r>
      <w:r w:rsidR="00441DFD">
        <w:rPr>
          <w:rFonts w:hint="eastAsia"/>
          <w:sz w:val="24"/>
        </w:rPr>
        <w:t>することが求められているのであって、このような解釈を試みることすらしない被告の主張は、やはり破綻している。</w:t>
      </w:r>
    </w:p>
    <w:p w14:paraId="79BAF0F6" w14:textId="1AC31213" w:rsidR="007C2271" w:rsidRPr="00C63C42" w:rsidRDefault="00441DFD" w:rsidP="00441DFD">
      <w:pPr>
        <w:ind w:leftChars="200" w:left="566" w:firstLineChars="100" w:firstLine="313"/>
        <w:jc w:val="left"/>
        <w:rPr>
          <w:sz w:val="24"/>
        </w:rPr>
      </w:pPr>
      <w:r>
        <w:rPr>
          <w:rFonts w:hint="eastAsia"/>
          <w:sz w:val="24"/>
        </w:rPr>
        <w:t>なお、これら関係法令をも考慮</w:t>
      </w:r>
      <w:r w:rsidR="00DB4B38">
        <w:rPr>
          <w:rFonts w:hint="eastAsia"/>
          <w:sz w:val="24"/>
        </w:rPr>
        <w:t>す</w:t>
      </w:r>
      <w:r w:rsidR="00C63C42" w:rsidRPr="00C63C42">
        <w:rPr>
          <w:rFonts w:hint="eastAsia"/>
          <w:sz w:val="24"/>
        </w:rPr>
        <w:t>れば、</w:t>
      </w:r>
      <w:r w:rsidR="00240887">
        <w:rPr>
          <w:rFonts w:hint="eastAsia"/>
          <w:sz w:val="24"/>
        </w:rPr>
        <w:t>本件における</w:t>
      </w:r>
      <w:r w:rsidR="00C63C42" w:rsidRPr="00C63C42">
        <w:rPr>
          <w:rFonts w:hint="eastAsia"/>
          <w:sz w:val="24"/>
        </w:rPr>
        <w:t>「</w:t>
      </w:r>
      <w:r w:rsidR="00240887">
        <w:rPr>
          <w:rFonts w:hint="eastAsia"/>
          <w:sz w:val="24"/>
        </w:rPr>
        <w:t>法律上の</w:t>
      </w:r>
      <w:r w:rsidR="00C63C42" w:rsidRPr="00C63C42">
        <w:rPr>
          <w:rFonts w:hint="eastAsia"/>
          <w:sz w:val="24"/>
        </w:rPr>
        <w:t>利益」</w:t>
      </w:r>
      <w:r w:rsidR="00240887">
        <w:rPr>
          <w:rFonts w:hint="eastAsia"/>
          <w:sz w:val="24"/>
        </w:rPr>
        <w:t>（行訴法９条１項）</w:t>
      </w:r>
      <w:r w:rsidR="00C63C42" w:rsidRPr="00C63C42">
        <w:rPr>
          <w:rFonts w:hint="eastAsia"/>
          <w:sz w:val="24"/>
        </w:rPr>
        <w:t>とは、「埋立地の周辺地域に居住する住民</w:t>
      </w:r>
      <w:r w:rsidR="00B97B86">
        <w:rPr>
          <w:rFonts w:hint="eastAsia"/>
          <w:sz w:val="24"/>
        </w:rPr>
        <w:t>、ないし埋立地域及びその周辺において清浄な海洋環境を享受する者</w:t>
      </w:r>
      <w:r w:rsidR="00C63C42" w:rsidRPr="00C63C42">
        <w:rPr>
          <w:rFonts w:hint="eastAsia"/>
          <w:sz w:val="24"/>
        </w:rPr>
        <w:t>をして、違法な事業に起因する災害を受けず、又は公害（騒音のみならず水質汚濁も含む）によって健康、生活環境若しくは営業に係る被害を受けないという利益」をいうことは、もはや異論を挟む余地もない</w:t>
      </w:r>
      <w:r>
        <w:rPr>
          <w:rFonts w:hint="eastAsia"/>
          <w:sz w:val="24"/>
        </w:rPr>
        <w:t>。</w:t>
      </w:r>
    </w:p>
    <w:p w14:paraId="06587601" w14:textId="7360F902" w:rsidR="007C2271" w:rsidRPr="00343955" w:rsidRDefault="007C2271" w:rsidP="00343955">
      <w:pPr>
        <w:pStyle w:val="2"/>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15" w:name="_Toc136612138"/>
      <w:r w:rsidR="00441DFD" w:rsidRPr="00343955">
        <w:rPr>
          <w:rFonts w:ascii="ＭＳ ゴシック" w:eastAsia="ＭＳ ゴシック" w:hAnsi="ＭＳ ゴシック" w:cs="Times New Roman" w:hint="eastAsia"/>
          <w:spacing w:val="2"/>
          <w:kern w:val="0"/>
          <w:szCs w:val="24"/>
        </w:rPr>
        <w:t>３</w:t>
      </w:r>
      <w:r w:rsidRPr="00343955">
        <w:rPr>
          <w:rFonts w:ascii="ＭＳ ゴシック" w:eastAsia="ＭＳ ゴシック" w:hAnsi="ＭＳ ゴシック" w:cs="Times New Roman" w:hint="eastAsia"/>
          <w:spacing w:val="2"/>
          <w:kern w:val="0"/>
          <w:szCs w:val="24"/>
        </w:rPr>
        <w:t xml:space="preserve">　</w:t>
      </w:r>
      <w:r w:rsidR="00B57574" w:rsidRPr="00343955">
        <w:rPr>
          <w:rFonts w:ascii="ＭＳ ゴシック" w:eastAsia="ＭＳ ゴシック" w:hAnsi="ＭＳ ゴシック" w:cs="Times New Roman" w:hint="eastAsia"/>
          <w:spacing w:val="2"/>
          <w:kern w:val="0"/>
          <w:szCs w:val="24"/>
        </w:rPr>
        <w:t>施設の運用による影響を考慮すべきこと</w:t>
      </w:r>
      <w:bookmarkEnd w:id="15"/>
    </w:p>
    <w:p w14:paraId="3BB2BC69" w14:textId="77777777" w:rsidR="00B57574" w:rsidRDefault="005A0045" w:rsidP="00B57574">
      <w:pPr>
        <w:ind w:leftChars="100" w:left="596" w:hangingChars="100" w:hanging="313"/>
        <w:jc w:val="left"/>
        <w:rPr>
          <w:sz w:val="24"/>
        </w:rPr>
      </w:pPr>
      <w:r>
        <w:rPr>
          <w:rFonts w:hint="eastAsia"/>
          <w:sz w:val="24"/>
        </w:rPr>
        <w:t xml:space="preserve">　　</w:t>
      </w:r>
      <w:r w:rsidR="00B57574">
        <w:rPr>
          <w:rFonts w:hint="eastAsia"/>
          <w:sz w:val="24"/>
        </w:rPr>
        <w:t>被告は、原告適格の判断に際しては</w:t>
      </w:r>
      <w:r>
        <w:rPr>
          <w:rFonts w:hint="eastAsia"/>
          <w:sz w:val="24"/>
        </w:rPr>
        <w:t>「本件変更承認申請による埋立の変更それ自体により影響を受ける利益」</w:t>
      </w:r>
      <w:r w:rsidR="00B57574">
        <w:rPr>
          <w:rFonts w:hint="eastAsia"/>
          <w:sz w:val="24"/>
        </w:rPr>
        <w:t>を考慮すべき</w:t>
      </w:r>
      <w:r w:rsidR="00B57574">
        <w:rPr>
          <w:rFonts w:hint="eastAsia"/>
          <w:sz w:val="24"/>
        </w:rPr>
        <w:lastRenderedPageBreak/>
        <w:t>であるとする。</w:t>
      </w:r>
    </w:p>
    <w:p w14:paraId="0945CAD0" w14:textId="561DD945" w:rsidR="00DF2B63" w:rsidRDefault="00B57574" w:rsidP="00A767D1">
      <w:pPr>
        <w:ind w:leftChars="200" w:left="566" w:firstLineChars="100" w:firstLine="313"/>
        <w:jc w:val="left"/>
        <w:rPr>
          <w:sz w:val="24"/>
        </w:rPr>
      </w:pPr>
      <w:r>
        <w:rPr>
          <w:rFonts w:hint="eastAsia"/>
          <w:sz w:val="24"/>
        </w:rPr>
        <w:t>しかし、先に述べたとおり</w:t>
      </w:r>
      <w:r w:rsidR="005A0045">
        <w:rPr>
          <w:rFonts w:hint="eastAsia"/>
          <w:sz w:val="24"/>
        </w:rPr>
        <w:t>、</w:t>
      </w:r>
      <w:r>
        <w:rPr>
          <w:rFonts w:hint="eastAsia"/>
          <w:sz w:val="24"/>
        </w:rPr>
        <w:t>改正行訴法９条２項が定める「</w:t>
      </w:r>
      <w:r w:rsidRPr="002256E4">
        <w:rPr>
          <w:rFonts w:hint="eastAsia"/>
          <w:sz w:val="24"/>
        </w:rPr>
        <w:t>当該処分がその根拠となる法令に違反してされた場合に害されることとなる利益</w:t>
      </w:r>
      <w:r>
        <w:rPr>
          <w:rFonts w:hint="eastAsia"/>
          <w:sz w:val="24"/>
        </w:rPr>
        <w:t>」とは、</w:t>
      </w:r>
      <w:r w:rsidR="00A767D1">
        <w:rPr>
          <w:rFonts w:hint="eastAsia"/>
          <w:sz w:val="24"/>
        </w:rPr>
        <w:t>①</w:t>
      </w:r>
      <w:r>
        <w:rPr>
          <w:rFonts w:hint="eastAsia"/>
          <w:sz w:val="24"/>
        </w:rPr>
        <w:t>「当該処分</w:t>
      </w:r>
      <w:r w:rsidRPr="002256E4">
        <w:rPr>
          <w:rFonts w:hint="eastAsia"/>
          <w:sz w:val="24"/>
        </w:rPr>
        <w:t>がその根拠となる法令に違反してされた場合</w:t>
      </w:r>
      <w:r>
        <w:rPr>
          <w:rFonts w:hint="eastAsia"/>
          <w:sz w:val="24"/>
        </w:rPr>
        <w:t>に、当該処分</w:t>
      </w:r>
      <w:r w:rsidR="00A767D1">
        <w:rPr>
          <w:rFonts w:hint="eastAsia"/>
          <w:sz w:val="24"/>
        </w:rPr>
        <w:t>を前提として</w:t>
      </w:r>
      <w:r>
        <w:rPr>
          <w:rFonts w:hint="eastAsia"/>
          <w:sz w:val="24"/>
        </w:rPr>
        <w:t>運用される施設</w:t>
      </w:r>
      <w:r w:rsidRPr="0067083E">
        <w:rPr>
          <w:rFonts w:hint="eastAsia"/>
          <w:sz w:val="24"/>
        </w:rPr>
        <w:t>が</w:t>
      </w:r>
      <w:r>
        <w:rPr>
          <w:rFonts w:hint="eastAsia"/>
          <w:sz w:val="24"/>
        </w:rPr>
        <w:t>もたらす</w:t>
      </w:r>
      <w:r w:rsidRPr="0067083E">
        <w:rPr>
          <w:rFonts w:hint="eastAsia"/>
          <w:sz w:val="24"/>
        </w:rPr>
        <w:t>周辺への悪影響</w:t>
      </w:r>
      <w:r>
        <w:rPr>
          <w:rFonts w:hint="eastAsia"/>
          <w:sz w:val="24"/>
        </w:rPr>
        <w:t>（いわゆる、「負の外部性」ないし「外部不経済」）から保護されることを想定されている利益」を指すこと</w:t>
      </w:r>
      <w:r w:rsidR="00DF2B63">
        <w:rPr>
          <w:rFonts w:hint="eastAsia"/>
          <w:sz w:val="24"/>
        </w:rPr>
        <w:t>、</w:t>
      </w:r>
      <w:r w:rsidR="00A767D1">
        <w:rPr>
          <w:rFonts w:hint="eastAsia"/>
          <w:sz w:val="24"/>
        </w:rPr>
        <w:t>②</w:t>
      </w:r>
      <w:r w:rsidR="00DF2B63">
        <w:rPr>
          <w:rFonts w:hint="eastAsia"/>
          <w:sz w:val="24"/>
        </w:rPr>
        <w:t>そしてこれは実質的な利益侵害の有無という基準をもって判断されるべきであるということ</w:t>
      </w:r>
      <w:r>
        <w:rPr>
          <w:rFonts w:hint="eastAsia"/>
          <w:sz w:val="24"/>
        </w:rPr>
        <w:t>が、今般の最新判例から明らかとなった。</w:t>
      </w:r>
    </w:p>
    <w:p w14:paraId="1E48B6CD" w14:textId="23C58703" w:rsidR="008667DA" w:rsidRDefault="008667DA" w:rsidP="00B57574">
      <w:pPr>
        <w:ind w:leftChars="200" w:left="566" w:firstLineChars="100" w:firstLine="313"/>
        <w:jc w:val="left"/>
        <w:rPr>
          <w:sz w:val="24"/>
        </w:rPr>
      </w:pPr>
      <w:r>
        <w:rPr>
          <w:rFonts w:hint="eastAsia"/>
          <w:sz w:val="24"/>
        </w:rPr>
        <w:t>これを</w:t>
      </w:r>
      <w:r w:rsidR="00B57574">
        <w:rPr>
          <w:rFonts w:hint="eastAsia"/>
          <w:sz w:val="24"/>
        </w:rPr>
        <w:t>本件</w:t>
      </w:r>
      <w:r>
        <w:rPr>
          <w:rFonts w:hint="eastAsia"/>
          <w:sz w:val="24"/>
        </w:rPr>
        <w:t>についてみると</w:t>
      </w:r>
      <w:r w:rsidR="00B57574">
        <w:rPr>
          <w:rFonts w:hint="eastAsia"/>
          <w:sz w:val="24"/>
        </w:rPr>
        <w:t>、「</w:t>
      </w:r>
      <w:r>
        <w:rPr>
          <w:rFonts w:hint="eastAsia"/>
          <w:sz w:val="24"/>
        </w:rPr>
        <w:t>当該処分</w:t>
      </w:r>
      <w:r w:rsidRPr="002256E4">
        <w:rPr>
          <w:rFonts w:hint="eastAsia"/>
          <w:sz w:val="24"/>
        </w:rPr>
        <w:t>がその根拠となる法令に違反してされた場合</w:t>
      </w:r>
      <w:r>
        <w:rPr>
          <w:rFonts w:hint="eastAsia"/>
          <w:sz w:val="24"/>
        </w:rPr>
        <w:t>に、</w:t>
      </w:r>
      <w:r w:rsidR="00A767D1">
        <w:rPr>
          <w:rFonts w:hint="eastAsia"/>
          <w:sz w:val="24"/>
        </w:rPr>
        <w:t>当該処分を前提として運用される施設</w:t>
      </w:r>
      <w:r w:rsidR="00B57574">
        <w:rPr>
          <w:rFonts w:hint="eastAsia"/>
          <w:sz w:val="24"/>
        </w:rPr>
        <w:t>」</w:t>
      </w:r>
      <w:r>
        <w:rPr>
          <w:rFonts w:hint="eastAsia"/>
          <w:sz w:val="24"/>
        </w:rPr>
        <w:t>とは</w:t>
      </w:r>
      <w:r w:rsidR="00A767D1">
        <w:rPr>
          <w:rFonts w:hint="eastAsia"/>
          <w:sz w:val="24"/>
        </w:rPr>
        <w:t>すなわち</w:t>
      </w:r>
      <w:r>
        <w:rPr>
          <w:rFonts w:hint="eastAsia"/>
          <w:sz w:val="24"/>
        </w:rPr>
        <w:t>、</w:t>
      </w:r>
      <w:r w:rsidR="00B57574">
        <w:rPr>
          <w:rFonts w:hint="eastAsia"/>
          <w:sz w:val="24"/>
        </w:rPr>
        <w:t>辺野古新基地</w:t>
      </w:r>
      <w:r w:rsidR="00A767D1">
        <w:rPr>
          <w:rFonts w:hint="eastAsia"/>
          <w:sz w:val="24"/>
        </w:rPr>
        <w:t>に他ならない。</w:t>
      </w:r>
    </w:p>
    <w:p w14:paraId="38C1F679" w14:textId="1A59BD17" w:rsidR="00A767D1" w:rsidRDefault="008667DA" w:rsidP="00B57574">
      <w:pPr>
        <w:ind w:leftChars="200" w:left="566" w:firstLineChars="100" w:firstLine="313"/>
        <w:jc w:val="left"/>
        <w:rPr>
          <w:sz w:val="24"/>
        </w:rPr>
      </w:pPr>
      <w:r>
        <w:rPr>
          <w:rFonts w:hint="eastAsia"/>
          <w:sz w:val="24"/>
        </w:rPr>
        <w:t>そして、これ</w:t>
      </w:r>
      <w:r w:rsidR="00B57574">
        <w:rPr>
          <w:rFonts w:hint="eastAsia"/>
          <w:sz w:val="24"/>
        </w:rPr>
        <w:t>がもたらす「</w:t>
      </w:r>
      <w:r w:rsidR="00B57574" w:rsidRPr="0067083E">
        <w:rPr>
          <w:rFonts w:hint="eastAsia"/>
          <w:sz w:val="24"/>
        </w:rPr>
        <w:t>周辺への悪影響</w:t>
      </w:r>
      <w:r w:rsidR="00B57574">
        <w:rPr>
          <w:rFonts w:hint="eastAsia"/>
          <w:sz w:val="24"/>
        </w:rPr>
        <w:t>（いわゆる、「負の外部性」ないし「外部不経済」）</w:t>
      </w:r>
      <w:r>
        <w:rPr>
          <w:rFonts w:hint="eastAsia"/>
          <w:sz w:val="24"/>
        </w:rPr>
        <w:t>から保護されることを想定されている利益」</w:t>
      </w:r>
      <w:r w:rsidR="00A767D1">
        <w:rPr>
          <w:rFonts w:hint="eastAsia"/>
          <w:sz w:val="24"/>
        </w:rPr>
        <w:t>は、実質的な利益侵害の有無をもって検討されるべきところ、本件で問題となる埋立法は、</w:t>
      </w:r>
      <w:r w:rsidR="00BA78FF">
        <w:rPr>
          <w:rFonts w:hint="eastAsia"/>
          <w:sz w:val="24"/>
        </w:rPr>
        <w:t>（</w:t>
      </w:r>
      <w:r w:rsidR="00A767D1">
        <w:rPr>
          <w:rFonts w:hint="eastAsia"/>
          <w:sz w:val="24"/>
        </w:rPr>
        <w:t>条文が白紙ともいうべき墓埋法</w:t>
      </w:r>
      <w:r w:rsidR="00BA78FF">
        <w:rPr>
          <w:rFonts w:hint="eastAsia"/>
          <w:sz w:val="24"/>
        </w:rPr>
        <w:t>に比べて）</w:t>
      </w:r>
      <w:r w:rsidR="00B651DA">
        <w:rPr>
          <w:rFonts w:hint="eastAsia"/>
          <w:sz w:val="24"/>
        </w:rPr>
        <w:t>４条１項２項のように、</w:t>
      </w:r>
      <w:r w:rsidR="00BA78FF">
        <w:rPr>
          <w:rFonts w:hint="eastAsia"/>
          <w:sz w:val="24"/>
        </w:rPr>
        <w:t>承認の要件が具体的に明記されていることから、根拠法令から端的に導き出される利益も存在すれば、もちろん、埋立法と趣旨及び目的を同じくする関係法令から導き出される利益も存在する。</w:t>
      </w:r>
    </w:p>
    <w:p w14:paraId="7C34E0EE" w14:textId="6CC187C9" w:rsidR="00A767D1" w:rsidRPr="00BA78FF" w:rsidRDefault="00B651DA" w:rsidP="00B57574">
      <w:pPr>
        <w:ind w:leftChars="200" w:left="566" w:firstLineChars="100" w:firstLine="313"/>
        <w:jc w:val="left"/>
        <w:rPr>
          <w:sz w:val="24"/>
        </w:rPr>
      </w:pPr>
      <w:r>
        <w:rPr>
          <w:rFonts w:hint="eastAsia"/>
          <w:sz w:val="24"/>
        </w:rPr>
        <w:t>そして、</w:t>
      </w:r>
      <w:r w:rsidR="00BA78FF">
        <w:rPr>
          <w:rFonts w:hint="eastAsia"/>
          <w:sz w:val="24"/>
        </w:rPr>
        <w:t>埋立法</w:t>
      </w:r>
      <w:r>
        <w:rPr>
          <w:rFonts w:hint="eastAsia"/>
          <w:sz w:val="24"/>
        </w:rPr>
        <w:t>及び</w:t>
      </w:r>
      <w:r w:rsidR="00BA78FF">
        <w:rPr>
          <w:rFonts w:hint="eastAsia"/>
          <w:sz w:val="24"/>
        </w:rPr>
        <w:t>関連法令</w:t>
      </w:r>
      <w:r>
        <w:rPr>
          <w:rFonts w:hint="eastAsia"/>
          <w:sz w:val="24"/>
        </w:rPr>
        <w:t>が</w:t>
      </w:r>
      <w:r w:rsidR="00BA78FF">
        <w:rPr>
          <w:rFonts w:hint="eastAsia"/>
          <w:sz w:val="24"/>
        </w:rPr>
        <w:t>、違法な処分を前提とす</w:t>
      </w:r>
      <w:r>
        <w:rPr>
          <w:rFonts w:hint="eastAsia"/>
          <w:sz w:val="24"/>
        </w:rPr>
        <w:t>る施設（本件では辺野古新基地）</w:t>
      </w:r>
      <w:r w:rsidR="00BA78FF">
        <w:rPr>
          <w:rFonts w:hint="eastAsia"/>
          <w:sz w:val="24"/>
        </w:rPr>
        <w:t>の運用によって生じうる</w:t>
      </w:r>
      <w:r>
        <w:rPr>
          <w:rFonts w:hint="eastAsia"/>
          <w:sz w:val="24"/>
        </w:rPr>
        <w:t>ものとして想定している</w:t>
      </w:r>
      <w:r w:rsidR="00BA78FF">
        <w:rPr>
          <w:rFonts w:hint="eastAsia"/>
          <w:sz w:val="24"/>
        </w:rPr>
        <w:t>実質的な利益侵害とは、事業に起因する災害や公害</w:t>
      </w:r>
      <w:r w:rsidR="00BA78FF" w:rsidRPr="00C63C42">
        <w:rPr>
          <w:rFonts w:hint="eastAsia"/>
          <w:sz w:val="24"/>
        </w:rPr>
        <w:t>（騒音のみならず水質汚濁も含む）</w:t>
      </w:r>
      <w:r w:rsidR="00BA78FF">
        <w:rPr>
          <w:rFonts w:hint="eastAsia"/>
          <w:sz w:val="24"/>
        </w:rPr>
        <w:t>によって生じうる、健康、生活環境、営業にかかる被害というべきである。</w:t>
      </w:r>
      <w:r w:rsidR="00FB020C">
        <w:rPr>
          <w:rFonts w:hint="eastAsia"/>
          <w:sz w:val="24"/>
        </w:rPr>
        <w:t>なお、こ</w:t>
      </w:r>
      <w:r w:rsidR="00FB020C">
        <w:rPr>
          <w:rFonts w:hint="eastAsia"/>
          <w:sz w:val="24"/>
        </w:rPr>
        <w:lastRenderedPageBreak/>
        <w:t>の度の最新判例が「人家」のみならず「学校」や「病院」についても着目した（最新判例の原告には「人家」の居住者しかいなかったものの、「学校」や「病院」の利用者が原告となっていれば原告適格は認められていたであろう）ことを考慮すれば、実質的な利益侵害を受けうる者は、必ずしも</w:t>
      </w:r>
      <w:r w:rsidR="00B97B86">
        <w:rPr>
          <w:rFonts w:hint="eastAsia"/>
          <w:sz w:val="24"/>
        </w:rPr>
        <w:t>当該</w:t>
      </w:r>
      <w:r w:rsidR="00FB020C">
        <w:rPr>
          <w:rFonts w:hint="eastAsia"/>
          <w:sz w:val="24"/>
        </w:rPr>
        <w:t>施設</w:t>
      </w:r>
      <w:r>
        <w:rPr>
          <w:rFonts w:hint="eastAsia"/>
          <w:sz w:val="24"/>
        </w:rPr>
        <w:t>の</w:t>
      </w:r>
      <w:r w:rsidR="00FB020C">
        <w:rPr>
          <w:rFonts w:hint="eastAsia"/>
          <w:sz w:val="24"/>
        </w:rPr>
        <w:t>周辺住民に限られるものではないというべきである。</w:t>
      </w:r>
    </w:p>
    <w:p w14:paraId="1D2D55CE" w14:textId="28F81ADE" w:rsidR="005A0045" w:rsidRDefault="00BA78FF" w:rsidP="00B57574">
      <w:pPr>
        <w:ind w:leftChars="200" w:left="566" w:firstLineChars="100" w:firstLine="313"/>
        <w:jc w:val="left"/>
        <w:rPr>
          <w:sz w:val="24"/>
        </w:rPr>
      </w:pPr>
      <w:r>
        <w:rPr>
          <w:rFonts w:hint="eastAsia"/>
          <w:sz w:val="24"/>
        </w:rPr>
        <w:t>したがって、</w:t>
      </w:r>
      <w:r w:rsidR="008667DA">
        <w:rPr>
          <w:rFonts w:hint="eastAsia"/>
          <w:sz w:val="24"/>
        </w:rPr>
        <w:t>埋立法及びその関連法令を考慮すれば、</w:t>
      </w:r>
      <w:r>
        <w:rPr>
          <w:rFonts w:hint="eastAsia"/>
          <w:sz w:val="24"/>
        </w:rPr>
        <w:t>「</w:t>
      </w:r>
      <w:r w:rsidRPr="002256E4">
        <w:rPr>
          <w:rFonts w:hint="eastAsia"/>
          <w:sz w:val="24"/>
        </w:rPr>
        <w:t>当該処分がその根拠となる法令に違反してされた場合に害されることとなる利益</w:t>
      </w:r>
      <w:r>
        <w:rPr>
          <w:rFonts w:hint="eastAsia"/>
          <w:sz w:val="24"/>
        </w:rPr>
        <w:t>」とは、</w:t>
      </w:r>
      <w:r w:rsidR="008667DA" w:rsidRPr="00C63C42">
        <w:rPr>
          <w:rFonts w:hint="eastAsia"/>
          <w:sz w:val="24"/>
        </w:rPr>
        <w:t>「埋立地の周辺地域に居住する住民</w:t>
      </w:r>
      <w:r w:rsidR="00FB020C">
        <w:rPr>
          <w:rFonts w:hint="eastAsia"/>
          <w:sz w:val="24"/>
        </w:rPr>
        <w:t>、ないし埋立地域及びその周辺において清浄な海洋環境を享受する者</w:t>
      </w:r>
      <w:r w:rsidR="008667DA" w:rsidRPr="00C63C42">
        <w:rPr>
          <w:rFonts w:hint="eastAsia"/>
          <w:sz w:val="24"/>
        </w:rPr>
        <w:t>をして、違法な事業に起因する災害を受けず、又は公害（騒音のみならず水質汚濁も含む）によって健康、生活環境若しくは営業に係る被害を受けないという利益」</w:t>
      </w:r>
      <w:r w:rsidR="00FB020C">
        <w:rPr>
          <w:rFonts w:hint="eastAsia"/>
          <w:sz w:val="24"/>
        </w:rPr>
        <w:t>と理解すべきである</w:t>
      </w:r>
      <w:r w:rsidR="008667DA">
        <w:rPr>
          <w:rFonts w:hint="eastAsia"/>
          <w:sz w:val="24"/>
        </w:rPr>
        <w:t>。</w:t>
      </w:r>
    </w:p>
    <w:p w14:paraId="7307F45A" w14:textId="39F42744" w:rsidR="00B57574" w:rsidRPr="008667DA" w:rsidRDefault="00FB020C" w:rsidP="00B57574">
      <w:pPr>
        <w:ind w:leftChars="200" w:left="566" w:firstLineChars="100" w:firstLine="313"/>
        <w:jc w:val="left"/>
        <w:rPr>
          <w:sz w:val="24"/>
        </w:rPr>
      </w:pPr>
      <w:r>
        <w:rPr>
          <w:rFonts w:hint="eastAsia"/>
          <w:sz w:val="24"/>
        </w:rPr>
        <w:t>このように、</w:t>
      </w:r>
      <w:r w:rsidR="008667DA">
        <w:rPr>
          <w:rFonts w:hint="eastAsia"/>
          <w:sz w:val="24"/>
        </w:rPr>
        <w:t>被告が</w:t>
      </w:r>
      <w:r w:rsidR="008667DA" w:rsidRPr="00B236FF">
        <w:rPr>
          <w:rFonts w:hint="eastAsia"/>
          <w:sz w:val="24"/>
        </w:rPr>
        <w:t>法令の文言の形式的解釈に拘泥</w:t>
      </w:r>
      <w:r w:rsidR="008667DA">
        <w:rPr>
          <w:rFonts w:hint="eastAsia"/>
          <w:sz w:val="24"/>
        </w:rPr>
        <w:t>した結果導き出した「本件変更承認申請による埋立の変更それ自体により影響を受ける利益」と</w:t>
      </w:r>
      <w:r w:rsidR="00B97B86">
        <w:rPr>
          <w:rFonts w:hint="eastAsia"/>
          <w:sz w:val="24"/>
        </w:rPr>
        <w:t>いう理解は</w:t>
      </w:r>
      <w:r w:rsidR="008667DA">
        <w:rPr>
          <w:rFonts w:hint="eastAsia"/>
          <w:sz w:val="24"/>
        </w:rPr>
        <w:t>、改正行訴法９条２項の定めに合致しないこと</w:t>
      </w:r>
      <w:r w:rsidR="00B651DA">
        <w:rPr>
          <w:rFonts w:hint="eastAsia"/>
          <w:sz w:val="24"/>
        </w:rPr>
        <w:t>、</w:t>
      </w:r>
      <w:r w:rsidR="00B97B86">
        <w:rPr>
          <w:rFonts w:hint="eastAsia"/>
          <w:sz w:val="24"/>
        </w:rPr>
        <w:t>そして</w:t>
      </w:r>
      <w:r w:rsidR="00B651DA">
        <w:rPr>
          <w:rFonts w:hint="eastAsia"/>
          <w:sz w:val="24"/>
        </w:rPr>
        <w:t>これが</w:t>
      </w:r>
      <w:r w:rsidR="008667DA">
        <w:rPr>
          <w:rFonts w:hint="eastAsia"/>
          <w:sz w:val="24"/>
        </w:rPr>
        <w:t>最新判例によって一層明確になった</w:t>
      </w:r>
      <w:r w:rsidR="00B651DA">
        <w:rPr>
          <w:rFonts w:hint="eastAsia"/>
          <w:sz w:val="24"/>
        </w:rPr>
        <w:t>ことは、明らかというべきである</w:t>
      </w:r>
      <w:r w:rsidR="008667DA">
        <w:rPr>
          <w:rFonts w:hint="eastAsia"/>
          <w:sz w:val="24"/>
        </w:rPr>
        <w:t>。</w:t>
      </w:r>
    </w:p>
    <w:p w14:paraId="3D397280" w14:textId="026D0F31" w:rsidR="005A0045" w:rsidRPr="00343955" w:rsidRDefault="009D0781" w:rsidP="00343955">
      <w:pPr>
        <w:pStyle w:val="2"/>
        <w:rPr>
          <w:rFonts w:ascii="ＭＳ ゴシック" w:eastAsia="ＭＳ ゴシック" w:hAnsi="ＭＳ ゴシック" w:cs="Times New Roman"/>
          <w:spacing w:val="2"/>
          <w:kern w:val="0"/>
          <w:szCs w:val="24"/>
        </w:rPr>
      </w:pPr>
      <w:r w:rsidRPr="00343955">
        <w:rPr>
          <w:rFonts w:ascii="ＭＳ ゴシック" w:eastAsia="ＭＳ ゴシック" w:hAnsi="ＭＳ ゴシック" w:cs="Times New Roman" w:hint="eastAsia"/>
          <w:spacing w:val="2"/>
          <w:kern w:val="0"/>
          <w:szCs w:val="24"/>
        </w:rPr>
        <w:t xml:space="preserve">　</w:t>
      </w:r>
      <w:bookmarkStart w:id="16" w:name="_Toc136612139"/>
      <w:r w:rsidRPr="00343955">
        <w:rPr>
          <w:rFonts w:ascii="ＭＳ ゴシック" w:eastAsia="ＭＳ ゴシック" w:hAnsi="ＭＳ ゴシック" w:cs="Times New Roman" w:hint="eastAsia"/>
          <w:spacing w:val="2"/>
          <w:kern w:val="0"/>
          <w:szCs w:val="24"/>
        </w:rPr>
        <w:t>４　審理のあり方について</w:t>
      </w:r>
      <w:bookmarkEnd w:id="16"/>
    </w:p>
    <w:p w14:paraId="69EDC725" w14:textId="52E9225C" w:rsidR="009D0781" w:rsidRDefault="009D0781" w:rsidP="009D0781">
      <w:pPr>
        <w:ind w:left="626" w:hangingChars="200" w:hanging="626"/>
        <w:jc w:val="left"/>
        <w:rPr>
          <w:sz w:val="24"/>
        </w:rPr>
      </w:pPr>
      <w:r>
        <w:rPr>
          <w:rFonts w:hint="eastAsia"/>
          <w:sz w:val="24"/>
        </w:rPr>
        <w:t xml:space="preserve">　　　先に述べたとおり、最新判例において林裁判官は、「</w:t>
      </w:r>
      <w:r w:rsidRPr="0067083E">
        <w:rPr>
          <w:rFonts w:hint="eastAsia"/>
          <w:sz w:val="24"/>
        </w:rPr>
        <w:t>第三者の原告適格については、前記のとおり、行政事件訴訟法９条２項が追加された趣旨を踏まえた適切な判断が求められるところであって、審理を担当する裁判所としては、そのような判断に必要な限度を超えた主張立証が漫然と継続されることのないよう、十分に留意すべきである</w:t>
      </w:r>
      <w:r>
        <w:rPr>
          <w:rFonts w:hint="eastAsia"/>
          <w:sz w:val="24"/>
        </w:rPr>
        <w:t>」という諫言ともいうべき指摘をしている。</w:t>
      </w:r>
    </w:p>
    <w:p w14:paraId="7D63A1C6" w14:textId="214803E2" w:rsidR="009D0781" w:rsidRDefault="009D0781" w:rsidP="009D0781">
      <w:pPr>
        <w:ind w:left="626" w:hangingChars="200" w:hanging="626"/>
        <w:jc w:val="left"/>
        <w:rPr>
          <w:sz w:val="24"/>
        </w:rPr>
      </w:pPr>
      <w:r>
        <w:rPr>
          <w:rFonts w:hint="eastAsia"/>
          <w:sz w:val="24"/>
        </w:rPr>
        <w:lastRenderedPageBreak/>
        <w:t xml:space="preserve">　　　これは、訴訟要件としての原告適格での検討事項と、本案での検討事項との違いを意識してなされたものであり、その意味において、宇賀裁判官による「</w:t>
      </w:r>
      <w:r w:rsidRPr="0067083E">
        <w:rPr>
          <w:rFonts w:hint="eastAsia"/>
          <w:sz w:val="24"/>
        </w:rPr>
        <w:t>墓地等の公益性は、本案の判断に当たって考慮要素になるものの、誰が許可処分を争うことができるかという原告適格の判断で問題になる公益とは異なるものである</w:t>
      </w:r>
      <w:r>
        <w:rPr>
          <w:rFonts w:hint="eastAsia"/>
          <w:sz w:val="24"/>
        </w:rPr>
        <w:t>」という指摘とも通底するものがある。</w:t>
      </w:r>
    </w:p>
    <w:p w14:paraId="717F7774" w14:textId="30E36DBF" w:rsidR="009D0781" w:rsidRDefault="009D0781" w:rsidP="009D0781">
      <w:pPr>
        <w:ind w:left="626" w:hangingChars="200" w:hanging="626"/>
        <w:jc w:val="left"/>
        <w:rPr>
          <w:sz w:val="24"/>
        </w:rPr>
      </w:pPr>
      <w:r>
        <w:rPr>
          <w:rFonts w:hint="eastAsia"/>
          <w:sz w:val="24"/>
        </w:rPr>
        <w:t xml:space="preserve">　　　この点、被告は、本案での審理の対象が埋立法４条１項１号及び２号であることをもって、訴訟要件としての原告適格での審理の対象もこれらと同範囲であると主張する。</w:t>
      </w:r>
    </w:p>
    <w:p w14:paraId="3E7F28BC" w14:textId="5E286770" w:rsidR="009D0781" w:rsidRDefault="009D0781" w:rsidP="009D0781">
      <w:pPr>
        <w:ind w:left="626" w:hangingChars="200" w:hanging="626"/>
        <w:jc w:val="left"/>
        <w:rPr>
          <w:sz w:val="24"/>
        </w:rPr>
      </w:pPr>
      <w:r>
        <w:rPr>
          <w:rFonts w:hint="eastAsia"/>
          <w:sz w:val="24"/>
        </w:rPr>
        <w:t xml:space="preserve">　　　しかしながら、</w:t>
      </w:r>
      <w:r w:rsidRPr="009D0781">
        <w:rPr>
          <w:rFonts w:hint="eastAsia"/>
          <w:sz w:val="24"/>
        </w:rPr>
        <w:t>「国交大臣による裁決が埋立法に違反しているか否か」と「国交大臣による裁決が</w:t>
      </w:r>
      <w:r w:rsidR="00A244B3">
        <w:rPr>
          <w:rFonts w:hint="eastAsia"/>
          <w:sz w:val="24"/>
        </w:rPr>
        <w:t>埋立法</w:t>
      </w:r>
      <w:r w:rsidRPr="009D0781">
        <w:rPr>
          <w:rFonts w:hint="eastAsia"/>
          <w:sz w:val="24"/>
        </w:rPr>
        <w:t>に違反してなされた場合に害されることとなる利益」とは、明らかに異なる次元</w:t>
      </w:r>
      <w:r w:rsidR="00A244B3">
        <w:rPr>
          <w:rFonts w:hint="eastAsia"/>
          <w:sz w:val="24"/>
        </w:rPr>
        <w:t>の検討事項である。</w:t>
      </w:r>
    </w:p>
    <w:p w14:paraId="0B09FECB" w14:textId="77777777" w:rsidR="00A244B3" w:rsidRDefault="00A244B3" w:rsidP="00A244B3">
      <w:pPr>
        <w:ind w:left="626" w:hangingChars="200" w:hanging="626"/>
        <w:jc w:val="left"/>
        <w:rPr>
          <w:sz w:val="24"/>
        </w:rPr>
      </w:pPr>
      <w:r>
        <w:rPr>
          <w:rFonts w:hint="eastAsia"/>
          <w:sz w:val="24"/>
        </w:rPr>
        <w:t xml:space="preserve">　　　すなわち、</w:t>
      </w:r>
      <w:r w:rsidRPr="00A244B3">
        <w:rPr>
          <w:rFonts w:hint="eastAsia"/>
          <w:sz w:val="24"/>
        </w:rPr>
        <w:t>「国交大臣による裁決が埋立法に違反しているか否か」は、国交大臣による</w:t>
      </w:r>
      <w:r>
        <w:rPr>
          <w:rFonts w:hint="eastAsia"/>
          <w:sz w:val="24"/>
        </w:rPr>
        <w:t>本件</w:t>
      </w:r>
      <w:r w:rsidRPr="00A244B3">
        <w:rPr>
          <w:rFonts w:hint="eastAsia"/>
          <w:sz w:val="24"/>
        </w:rPr>
        <w:t>裁決が、公水法４条１項１号及び２号の解釈適用として正しいか否かという問題である。これはいわば、要件適合性の問題であり、本案での検討事項である。</w:t>
      </w:r>
      <w:r>
        <w:rPr>
          <w:sz w:val="24"/>
        </w:rPr>
        <w:br/>
      </w:r>
      <w:r>
        <w:rPr>
          <w:rFonts w:hint="eastAsia"/>
          <w:sz w:val="24"/>
        </w:rPr>
        <w:t xml:space="preserve">　</w:t>
      </w:r>
      <w:r w:rsidRPr="00A244B3">
        <w:rPr>
          <w:rFonts w:hint="eastAsia"/>
          <w:sz w:val="24"/>
        </w:rPr>
        <w:t>他方、「国交大臣による裁決が</w:t>
      </w:r>
      <w:r>
        <w:rPr>
          <w:rFonts w:hint="eastAsia"/>
          <w:sz w:val="24"/>
        </w:rPr>
        <w:t>埋立法</w:t>
      </w:r>
      <w:r w:rsidRPr="00A244B3">
        <w:rPr>
          <w:rFonts w:hint="eastAsia"/>
          <w:sz w:val="24"/>
        </w:rPr>
        <w:t>に違反してなされた場合に害されることとなる利益」</w:t>
      </w:r>
      <w:r>
        <w:rPr>
          <w:rFonts w:hint="eastAsia"/>
          <w:sz w:val="24"/>
        </w:rPr>
        <w:t>とは、先に述べたとおり、あくまでも「当該処分</w:t>
      </w:r>
      <w:r w:rsidRPr="002256E4">
        <w:rPr>
          <w:rFonts w:hint="eastAsia"/>
          <w:sz w:val="24"/>
        </w:rPr>
        <w:t>がその根拠となる法令に違反してされた場合</w:t>
      </w:r>
      <w:r>
        <w:rPr>
          <w:rFonts w:hint="eastAsia"/>
          <w:sz w:val="24"/>
        </w:rPr>
        <w:t>に、当該処分に基づいて運用される施設</w:t>
      </w:r>
      <w:r w:rsidRPr="0067083E">
        <w:rPr>
          <w:rFonts w:hint="eastAsia"/>
          <w:sz w:val="24"/>
        </w:rPr>
        <w:t>が</w:t>
      </w:r>
      <w:r>
        <w:rPr>
          <w:rFonts w:hint="eastAsia"/>
          <w:sz w:val="24"/>
        </w:rPr>
        <w:t>もたらす</w:t>
      </w:r>
      <w:r w:rsidRPr="0067083E">
        <w:rPr>
          <w:rFonts w:hint="eastAsia"/>
          <w:sz w:val="24"/>
        </w:rPr>
        <w:t>周辺への悪影響</w:t>
      </w:r>
      <w:r>
        <w:rPr>
          <w:rFonts w:hint="eastAsia"/>
          <w:sz w:val="24"/>
        </w:rPr>
        <w:t>（いわゆる、「負の外部性」ないし「外部不経済」）から保護されることを想定されている利益」をいうのであって、これこそが</w:t>
      </w:r>
      <w:r w:rsidRPr="00A244B3">
        <w:rPr>
          <w:rFonts w:hint="eastAsia"/>
          <w:sz w:val="24"/>
        </w:rPr>
        <w:t>原告適格での検討事項である。</w:t>
      </w:r>
    </w:p>
    <w:p w14:paraId="79B9D76A" w14:textId="0FA8F5C4" w:rsidR="00A244B3" w:rsidRDefault="00A244B3" w:rsidP="00A244B3">
      <w:pPr>
        <w:ind w:leftChars="200" w:left="566" w:firstLineChars="100" w:firstLine="313"/>
        <w:jc w:val="left"/>
        <w:rPr>
          <w:sz w:val="24"/>
        </w:rPr>
      </w:pPr>
      <w:r w:rsidRPr="00A244B3">
        <w:rPr>
          <w:rFonts w:hint="eastAsia"/>
          <w:sz w:val="24"/>
        </w:rPr>
        <w:t>この両者については、論理的に</w:t>
      </w:r>
      <w:r w:rsidR="00B97B86">
        <w:rPr>
          <w:rFonts w:hint="eastAsia"/>
          <w:sz w:val="24"/>
        </w:rPr>
        <w:t>正確に</w:t>
      </w:r>
      <w:r w:rsidRPr="00A244B3">
        <w:rPr>
          <w:rFonts w:hint="eastAsia"/>
          <w:sz w:val="24"/>
        </w:rPr>
        <w:t>区別されるべきものである</w:t>
      </w:r>
      <w:r>
        <w:rPr>
          <w:rFonts w:hint="eastAsia"/>
          <w:sz w:val="24"/>
        </w:rPr>
        <w:t>ところ、林裁判官はこの度、「</w:t>
      </w:r>
      <w:r w:rsidRPr="0067083E">
        <w:rPr>
          <w:rFonts w:hint="eastAsia"/>
          <w:sz w:val="24"/>
        </w:rPr>
        <w:t>第三者の原告適格については、</w:t>
      </w:r>
      <w:r w:rsidRPr="0067083E">
        <w:rPr>
          <w:rFonts w:hint="eastAsia"/>
          <w:sz w:val="24"/>
        </w:rPr>
        <w:lastRenderedPageBreak/>
        <w:t>前記のとおり、行政事件訴訟法９条２項が追加された趣旨を踏まえた適切な判断が求められるところであって、審理を担当する裁判所としては、そのような判断に必要な限度を超えた主張立証が漫然と継続されることのないよう、十分に留意すべきである</w:t>
      </w:r>
      <w:r>
        <w:rPr>
          <w:rFonts w:hint="eastAsia"/>
          <w:sz w:val="24"/>
        </w:rPr>
        <w:t>」としたのである。</w:t>
      </w:r>
    </w:p>
    <w:p w14:paraId="162BB6BA" w14:textId="0FFC1BEB" w:rsidR="00A244B3" w:rsidRDefault="00A244B3" w:rsidP="00A244B3">
      <w:pPr>
        <w:ind w:leftChars="200" w:left="566" w:firstLineChars="100" w:firstLine="313"/>
        <w:jc w:val="left"/>
        <w:rPr>
          <w:sz w:val="24"/>
        </w:rPr>
      </w:pPr>
      <w:r>
        <w:rPr>
          <w:rFonts w:hint="eastAsia"/>
          <w:sz w:val="24"/>
        </w:rPr>
        <w:t>このような最高裁判事の指摘は重く受け止められるべきであって、原告適格の判断に</w:t>
      </w:r>
      <w:r w:rsidRPr="0067083E">
        <w:rPr>
          <w:rFonts w:hint="eastAsia"/>
          <w:sz w:val="24"/>
        </w:rPr>
        <w:t>必要な限度を超えた主張立証</w:t>
      </w:r>
      <w:r>
        <w:rPr>
          <w:rFonts w:hint="eastAsia"/>
          <w:sz w:val="24"/>
        </w:rPr>
        <w:t>を求めることにつながる被告の主張は</w:t>
      </w:r>
      <w:r w:rsidR="00B97B86">
        <w:rPr>
          <w:rFonts w:hint="eastAsia"/>
          <w:sz w:val="24"/>
        </w:rPr>
        <w:t>、やはり</w:t>
      </w:r>
      <w:r>
        <w:rPr>
          <w:rFonts w:hint="eastAsia"/>
          <w:sz w:val="24"/>
        </w:rPr>
        <w:t>失当であるというべきである。</w:t>
      </w:r>
    </w:p>
    <w:p w14:paraId="126096D0" w14:textId="759A87C4" w:rsidR="00A244B3" w:rsidRPr="00343955" w:rsidRDefault="00A244B3" w:rsidP="00343955">
      <w:pPr>
        <w:pStyle w:val="1"/>
        <w:rPr>
          <w:rFonts w:ascii="ＭＳ ゴシック" w:eastAsia="ＭＳ ゴシック" w:hAnsi="ＭＳ ゴシック" w:cs="ＭＳ 明朝"/>
          <w:color w:val="000000"/>
        </w:rPr>
      </w:pPr>
      <w:bookmarkStart w:id="17" w:name="_Toc136612140"/>
      <w:r w:rsidRPr="00343955">
        <w:rPr>
          <w:rFonts w:ascii="ＭＳ ゴシック" w:eastAsia="ＭＳ ゴシック" w:hAnsi="ＭＳ ゴシック" w:cs="ＭＳ 明朝" w:hint="eastAsia"/>
          <w:color w:val="000000"/>
        </w:rPr>
        <w:t>第３　今後の主張の予定について</w:t>
      </w:r>
      <w:bookmarkEnd w:id="17"/>
    </w:p>
    <w:p w14:paraId="25136A24" w14:textId="48BBACCA" w:rsidR="00A244B3" w:rsidRDefault="00A244B3" w:rsidP="00A244B3">
      <w:pPr>
        <w:ind w:leftChars="200" w:left="566" w:firstLineChars="100" w:firstLine="313"/>
        <w:jc w:val="left"/>
        <w:rPr>
          <w:sz w:val="24"/>
        </w:rPr>
      </w:pPr>
      <w:r>
        <w:rPr>
          <w:rFonts w:hint="eastAsia"/>
          <w:sz w:val="24"/>
        </w:rPr>
        <w:t>前回期日以降、原告らとしては、陳述書作成に取り組んできたところ、今般の最新判例が示された。</w:t>
      </w:r>
    </w:p>
    <w:p w14:paraId="2AFE0625" w14:textId="12226D32" w:rsidR="00A244B3" w:rsidRDefault="00A244B3" w:rsidP="00A244B3">
      <w:pPr>
        <w:ind w:leftChars="200" w:left="566" w:firstLineChars="100" w:firstLine="313"/>
        <w:jc w:val="left"/>
        <w:rPr>
          <w:sz w:val="24"/>
        </w:rPr>
      </w:pPr>
      <w:r>
        <w:rPr>
          <w:rFonts w:hint="eastAsia"/>
          <w:sz w:val="24"/>
        </w:rPr>
        <w:t>この最新判例（特に林裁判官の補足意見や宇賀裁判官の意見）に照らせば、</w:t>
      </w:r>
      <w:r w:rsidR="00B97B86">
        <w:rPr>
          <w:rFonts w:hint="eastAsia"/>
          <w:sz w:val="24"/>
        </w:rPr>
        <w:t>原告らとしても、</w:t>
      </w:r>
      <w:r>
        <w:rPr>
          <w:rFonts w:hint="eastAsia"/>
          <w:sz w:val="24"/>
        </w:rPr>
        <w:t>原告適格の判断に必要な限度を超えた主張立証は漫然と継続されてはならないものと理解しているところ、</w:t>
      </w:r>
      <w:r w:rsidR="000C232F">
        <w:rPr>
          <w:rFonts w:hint="eastAsia"/>
          <w:sz w:val="24"/>
        </w:rPr>
        <w:t>昨年４月の那覇地判では、本件の原告</w:t>
      </w:r>
      <w:r w:rsidR="00B97B86">
        <w:rPr>
          <w:rFonts w:hint="eastAsia"/>
          <w:sz w:val="24"/>
        </w:rPr>
        <w:t>ら</w:t>
      </w:r>
      <w:r w:rsidR="000C232F">
        <w:rPr>
          <w:rFonts w:hint="eastAsia"/>
          <w:sz w:val="24"/>
        </w:rPr>
        <w:t>と多くの原告が重なる事案において、原告適格無しの判断が下されたこと、被告も本件について原告適格が無い旨の主張をしていることなどに鑑みれば、今般の最新判例を踏まえた上で、陳述書に基づく原告適格の主張が</w:t>
      </w:r>
      <w:r w:rsidR="00B97B86">
        <w:rPr>
          <w:rFonts w:hint="eastAsia"/>
          <w:sz w:val="24"/>
        </w:rPr>
        <w:t>補充</w:t>
      </w:r>
      <w:r w:rsidR="000C232F">
        <w:rPr>
          <w:rFonts w:hint="eastAsia"/>
          <w:sz w:val="24"/>
        </w:rPr>
        <w:t>されるべきであると考えている。</w:t>
      </w:r>
    </w:p>
    <w:p w14:paraId="3A135DC5" w14:textId="7874A527" w:rsidR="000C232F" w:rsidRDefault="000C232F" w:rsidP="00A244B3">
      <w:pPr>
        <w:ind w:leftChars="200" w:left="566" w:firstLineChars="100" w:firstLine="313"/>
        <w:jc w:val="left"/>
        <w:rPr>
          <w:sz w:val="24"/>
        </w:rPr>
      </w:pPr>
      <w:r>
        <w:rPr>
          <w:rFonts w:hint="eastAsia"/>
          <w:sz w:val="24"/>
        </w:rPr>
        <w:t>本期日では、本案に関する主張も提出しているところ、次回期日では、原告から原告適格に関する追加の主張を行うことをもって、（被告からの反論がない限り）更なる主張は無いものと理解されたい。</w:t>
      </w:r>
    </w:p>
    <w:p w14:paraId="5ECA9005" w14:textId="6B978E87" w:rsidR="009D0781" w:rsidRPr="000C232F" w:rsidRDefault="000C232F" w:rsidP="000C232F">
      <w:pPr>
        <w:ind w:leftChars="200" w:left="566" w:firstLineChars="100" w:firstLine="313"/>
        <w:jc w:val="right"/>
        <w:rPr>
          <w:sz w:val="24"/>
        </w:rPr>
      </w:pPr>
      <w:r>
        <w:rPr>
          <w:rFonts w:hint="eastAsia"/>
          <w:sz w:val="24"/>
        </w:rPr>
        <w:t>以　上</w:t>
      </w:r>
    </w:p>
    <w:sectPr w:rsidR="009D0781" w:rsidRPr="000C232F" w:rsidSect="00586C88">
      <w:pgSz w:w="11906" w:h="16838" w:code="9"/>
      <w:pgMar w:top="1985" w:right="851" w:bottom="1531" w:left="1701" w:header="851" w:footer="992" w:gutter="0"/>
      <w:cols w:space="425"/>
      <w:docGrid w:type="linesAndChars" w:linePitch="505" w:charSpace="1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D65E" w14:textId="77777777" w:rsidR="0078699E" w:rsidRDefault="0078699E" w:rsidP="00C0622B">
      <w:r>
        <w:separator/>
      </w:r>
    </w:p>
  </w:endnote>
  <w:endnote w:type="continuationSeparator" w:id="0">
    <w:p w14:paraId="7DD4E87F" w14:textId="77777777" w:rsidR="0078699E" w:rsidRDefault="0078699E" w:rsidP="00C0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47D" w14:textId="77777777" w:rsidR="0078699E" w:rsidRDefault="0078699E" w:rsidP="00C0622B">
      <w:r>
        <w:separator/>
      </w:r>
    </w:p>
  </w:footnote>
  <w:footnote w:type="continuationSeparator" w:id="0">
    <w:p w14:paraId="48AEE48E" w14:textId="77777777" w:rsidR="0078699E" w:rsidRDefault="0078699E" w:rsidP="00C0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313"/>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136"/>
    <w:rsid w:val="00001153"/>
    <w:rsid w:val="00001E94"/>
    <w:rsid w:val="00011FAA"/>
    <w:rsid w:val="00022EB6"/>
    <w:rsid w:val="000342F4"/>
    <w:rsid w:val="00034462"/>
    <w:rsid w:val="00036F24"/>
    <w:rsid w:val="000463B1"/>
    <w:rsid w:val="00050CB3"/>
    <w:rsid w:val="00060FF6"/>
    <w:rsid w:val="00071973"/>
    <w:rsid w:val="00075BA8"/>
    <w:rsid w:val="00083949"/>
    <w:rsid w:val="0009292E"/>
    <w:rsid w:val="00092C16"/>
    <w:rsid w:val="000A239A"/>
    <w:rsid w:val="000A6B98"/>
    <w:rsid w:val="000C232F"/>
    <w:rsid w:val="000D4817"/>
    <w:rsid w:val="000D5D62"/>
    <w:rsid w:val="000E18AA"/>
    <w:rsid w:val="000E3EC5"/>
    <w:rsid w:val="000F00F9"/>
    <w:rsid w:val="000F67AF"/>
    <w:rsid w:val="000F6D41"/>
    <w:rsid w:val="000F6F17"/>
    <w:rsid w:val="00111FC0"/>
    <w:rsid w:val="00124119"/>
    <w:rsid w:val="001265EC"/>
    <w:rsid w:val="00127E78"/>
    <w:rsid w:val="001347E2"/>
    <w:rsid w:val="0013518C"/>
    <w:rsid w:val="00155C94"/>
    <w:rsid w:val="001610EA"/>
    <w:rsid w:val="00174C02"/>
    <w:rsid w:val="001800C5"/>
    <w:rsid w:val="001816EE"/>
    <w:rsid w:val="001905E1"/>
    <w:rsid w:val="001946F0"/>
    <w:rsid w:val="001A2054"/>
    <w:rsid w:val="001A32B4"/>
    <w:rsid w:val="001A4DC7"/>
    <w:rsid w:val="001B0F3D"/>
    <w:rsid w:val="001B2B5A"/>
    <w:rsid w:val="001B2CD7"/>
    <w:rsid w:val="001C647F"/>
    <w:rsid w:val="001C6DBC"/>
    <w:rsid w:val="001D10BA"/>
    <w:rsid w:val="001D74BD"/>
    <w:rsid w:val="001E0CD6"/>
    <w:rsid w:val="001E4CE3"/>
    <w:rsid w:val="001E53B2"/>
    <w:rsid w:val="001F0400"/>
    <w:rsid w:val="001F1AE8"/>
    <w:rsid w:val="001F46A4"/>
    <w:rsid w:val="002047CA"/>
    <w:rsid w:val="00210740"/>
    <w:rsid w:val="002253F3"/>
    <w:rsid w:val="00225547"/>
    <w:rsid w:val="002256E4"/>
    <w:rsid w:val="002264B2"/>
    <w:rsid w:val="00230419"/>
    <w:rsid w:val="0023401B"/>
    <w:rsid w:val="00240887"/>
    <w:rsid w:val="00254555"/>
    <w:rsid w:val="0026043C"/>
    <w:rsid w:val="00261A70"/>
    <w:rsid w:val="00262161"/>
    <w:rsid w:val="00266E55"/>
    <w:rsid w:val="00267B69"/>
    <w:rsid w:val="0027206D"/>
    <w:rsid w:val="002720C9"/>
    <w:rsid w:val="00285186"/>
    <w:rsid w:val="00291F75"/>
    <w:rsid w:val="002A20F2"/>
    <w:rsid w:val="002A4A6B"/>
    <w:rsid w:val="002B6591"/>
    <w:rsid w:val="002B6AFE"/>
    <w:rsid w:val="002B6E8B"/>
    <w:rsid w:val="002B75ED"/>
    <w:rsid w:val="002B7F00"/>
    <w:rsid w:val="002C0149"/>
    <w:rsid w:val="002C0A61"/>
    <w:rsid w:val="002C3232"/>
    <w:rsid w:val="002C5F86"/>
    <w:rsid w:val="002C751A"/>
    <w:rsid w:val="002D34D8"/>
    <w:rsid w:val="002D4859"/>
    <w:rsid w:val="002E38FC"/>
    <w:rsid w:val="002E6019"/>
    <w:rsid w:val="002E635F"/>
    <w:rsid w:val="002F3B73"/>
    <w:rsid w:val="002F3BD6"/>
    <w:rsid w:val="002F545F"/>
    <w:rsid w:val="002F564D"/>
    <w:rsid w:val="002F5C1C"/>
    <w:rsid w:val="00300136"/>
    <w:rsid w:val="00300D79"/>
    <w:rsid w:val="00312D58"/>
    <w:rsid w:val="00314979"/>
    <w:rsid w:val="00323928"/>
    <w:rsid w:val="003243DE"/>
    <w:rsid w:val="003257DE"/>
    <w:rsid w:val="00327DBE"/>
    <w:rsid w:val="00331D5F"/>
    <w:rsid w:val="003402C3"/>
    <w:rsid w:val="00340BCF"/>
    <w:rsid w:val="00340FCA"/>
    <w:rsid w:val="00342EF0"/>
    <w:rsid w:val="00343955"/>
    <w:rsid w:val="003441C1"/>
    <w:rsid w:val="0036190F"/>
    <w:rsid w:val="00365FB6"/>
    <w:rsid w:val="00371C67"/>
    <w:rsid w:val="00374992"/>
    <w:rsid w:val="00382944"/>
    <w:rsid w:val="0038297C"/>
    <w:rsid w:val="00384C03"/>
    <w:rsid w:val="0038633E"/>
    <w:rsid w:val="00390253"/>
    <w:rsid w:val="00391D7F"/>
    <w:rsid w:val="003952DD"/>
    <w:rsid w:val="00396422"/>
    <w:rsid w:val="003970C2"/>
    <w:rsid w:val="003A0F03"/>
    <w:rsid w:val="003A1103"/>
    <w:rsid w:val="003B32E2"/>
    <w:rsid w:val="003B6D97"/>
    <w:rsid w:val="003C0870"/>
    <w:rsid w:val="003C2C6A"/>
    <w:rsid w:val="003C46A6"/>
    <w:rsid w:val="003C5042"/>
    <w:rsid w:val="003C6B8A"/>
    <w:rsid w:val="003C7450"/>
    <w:rsid w:val="003D1411"/>
    <w:rsid w:val="003D1D6B"/>
    <w:rsid w:val="003D79D5"/>
    <w:rsid w:val="003E3505"/>
    <w:rsid w:val="003E7E7F"/>
    <w:rsid w:val="003F7654"/>
    <w:rsid w:val="003F7EB4"/>
    <w:rsid w:val="00410D3E"/>
    <w:rsid w:val="004115FD"/>
    <w:rsid w:val="004119E6"/>
    <w:rsid w:val="0042068C"/>
    <w:rsid w:val="004235CE"/>
    <w:rsid w:val="00427BB9"/>
    <w:rsid w:val="00430419"/>
    <w:rsid w:val="004349E1"/>
    <w:rsid w:val="00434A7C"/>
    <w:rsid w:val="004379CD"/>
    <w:rsid w:val="00441DFD"/>
    <w:rsid w:val="004623D3"/>
    <w:rsid w:val="004658A5"/>
    <w:rsid w:val="0047107A"/>
    <w:rsid w:val="00474CA9"/>
    <w:rsid w:val="00481C0A"/>
    <w:rsid w:val="00484054"/>
    <w:rsid w:val="004868E6"/>
    <w:rsid w:val="0049023A"/>
    <w:rsid w:val="0049228F"/>
    <w:rsid w:val="0049328B"/>
    <w:rsid w:val="00494E50"/>
    <w:rsid w:val="00496439"/>
    <w:rsid w:val="004A1A22"/>
    <w:rsid w:val="004B1734"/>
    <w:rsid w:val="004B17B2"/>
    <w:rsid w:val="004B32D1"/>
    <w:rsid w:val="004C0A7A"/>
    <w:rsid w:val="004C2249"/>
    <w:rsid w:val="004C54E4"/>
    <w:rsid w:val="004C5E1D"/>
    <w:rsid w:val="004C65B5"/>
    <w:rsid w:val="004C72E3"/>
    <w:rsid w:val="004C774C"/>
    <w:rsid w:val="004D01B7"/>
    <w:rsid w:val="004E080E"/>
    <w:rsid w:val="004E7F4F"/>
    <w:rsid w:val="004F6389"/>
    <w:rsid w:val="004F74FB"/>
    <w:rsid w:val="00502673"/>
    <w:rsid w:val="0050449C"/>
    <w:rsid w:val="00504506"/>
    <w:rsid w:val="00506254"/>
    <w:rsid w:val="0050710B"/>
    <w:rsid w:val="005125BF"/>
    <w:rsid w:val="005159AD"/>
    <w:rsid w:val="00516852"/>
    <w:rsid w:val="00516AEF"/>
    <w:rsid w:val="0052076E"/>
    <w:rsid w:val="00525E58"/>
    <w:rsid w:val="0052670B"/>
    <w:rsid w:val="00537B8D"/>
    <w:rsid w:val="00550B3D"/>
    <w:rsid w:val="00551383"/>
    <w:rsid w:val="00554538"/>
    <w:rsid w:val="0055453D"/>
    <w:rsid w:val="005556A6"/>
    <w:rsid w:val="0055582B"/>
    <w:rsid w:val="00560566"/>
    <w:rsid w:val="00561E34"/>
    <w:rsid w:val="0056237C"/>
    <w:rsid w:val="00574353"/>
    <w:rsid w:val="0058331D"/>
    <w:rsid w:val="00583909"/>
    <w:rsid w:val="00586C88"/>
    <w:rsid w:val="00590181"/>
    <w:rsid w:val="00591574"/>
    <w:rsid w:val="00591B4B"/>
    <w:rsid w:val="00592CF8"/>
    <w:rsid w:val="005A0045"/>
    <w:rsid w:val="005A11F6"/>
    <w:rsid w:val="005A3999"/>
    <w:rsid w:val="005A3CF7"/>
    <w:rsid w:val="005A5BDA"/>
    <w:rsid w:val="005B4FC8"/>
    <w:rsid w:val="005B7761"/>
    <w:rsid w:val="005C437C"/>
    <w:rsid w:val="005C721B"/>
    <w:rsid w:val="005D3B3E"/>
    <w:rsid w:val="005E2730"/>
    <w:rsid w:val="005F411D"/>
    <w:rsid w:val="005F54CF"/>
    <w:rsid w:val="005F6815"/>
    <w:rsid w:val="00600D39"/>
    <w:rsid w:val="00602097"/>
    <w:rsid w:val="00603AE3"/>
    <w:rsid w:val="006129C8"/>
    <w:rsid w:val="00615B10"/>
    <w:rsid w:val="0062088A"/>
    <w:rsid w:val="00622140"/>
    <w:rsid w:val="006245D6"/>
    <w:rsid w:val="00647633"/>
    <w:rsid w:val="00656B49"/>
    <w:rsid w:val="00656BB5"/>
    <w:rsid w:val="0066240F"/>
    <w:rsid w:val="00666A5C"/>
    <w:rsid w:val="0067083E"/>
    <w:rsid w:val="00672E67"/>
    <w:rsid w:val="00677B89"/>
    <w:rsid w:val="00677BF9"/>
    <w:rsid w:val="006831CF"/>
    <w:rsid w:val="00690B00"/>
    <w:rsid w:val="00694A99"/>
    <w:rsid w:val="006A0111"/>
    <w:rsid w:val="006A7E94"/>
    <w:rsid w:val="006B450D"/>
    <w:rsid w:val="006B4B23"/>
    <w:rsid w:val="006B7372"/>
    <w:rsid w:val="006C13BA"/>
    <w:rsid w:val="006C778F"/>
    <w:rsid w:val="006D33A1"/>
    <w:rsid w:val="006D3958"/>
    <w:rsid w:val="006D517C"/>
    <w:rsid w:val="006D694B"/>
    <w:rsid w:val="006F1E4B"/>
    <w:rsid w:val="006F4EFD"/>
    <w:rsid w:val="006F739B"/>
    <w:rsid w:val="00703B2E"/>
    <w:rsid w:val="0070519A"/>
    <w:rsid w:val="00715A8D"/>
    <w:rsid w:val="00717D53"/>
    <w:rsid w:val="007200E9"/>
    <w:rsid w:val="00725A93"/>
    <w:rsid w:val="00732B73"/>
    <w:rsid w:val="00733D4E"/>
    <w:rsid w:val="00736D5E"/>
    <w:rsid w:val="00740EC3"/>
    <w:rsid w:val="00743672"/>
    <w:rsid w:val="0074390D"/>
    <w:rsid w:val="00743D04"/>
    <w:rsid w:val="00743EFC"/>
    <w:rsid w:val="00765D21"/>
    <w:rsid w:val="00770291"/>
    <w:rsid w:val="007771AA"/>
    <w:rsid w:val="00780BCD"/>
    <w:rsid w:val="00782312"/>
    <w:rsid w:val="007831CC"/>
    <w:rsid w:val="00785647"/>
    <w:rsid w:val="0078699E"/>
    <w:rsid w:val="00787291"/>
    <w:rsid w:val="00792BCC"/>
    <w:rsid w:val="00793332"/>
    <w:rsid w:val="0079769F"/>
    <w:rsid w:val="007A6D60"/>
    <w:rsid w:val="007B03E0"/>
    <w:rsid w:val="007B17DF"/>
    <w:rsid w:val="007B3049"/>
    <w:rsid w:val="007B55D3"/>
    <w:rsid w:val="007B64F9"/>
    <w:rsid w:val="007B6ABA"/>
    <w:rsid w:val="007C05E8"/>
    <w:rsid w:val="007C2271"/>
    <w:rsid w:val="007C4ADE"/>
    <w:rsid w:val="007C5DBA"/>
    <w:rsid w:val="007D31D8"/>
    <w:rsid w:val="007D517C"/>
    <w:rsid w:val="007D6C1C"/>
    <w:rsid w:val="007D7D4F"/>
    <w:rsid w:val="007E18B0"/>
    <w:rsid w:val="007E72F7"/>
    <w:rsid w:val="007F1063"/>
    <w:rsid w:val="007F6075"/>
    <w:rsid w:val="007F7A9B"/>
    <w:rsid w:val="00810DDB"/>
    <w:rsid w:val="00817839"/>
    <w:rsid w:val="0083056E"/>
    <w:rsid w:val="008338C8"/>
    <w:rsid w:val="008416C9"/>
    <w:rsid w:val="00845C77"/>
    <w:rsid w:val="00855D97"/>
    <w:rsid w:val="008621F8"/>
    <w:rsid w:val="008667DA"/>
    <w:rsid w:val="00866A48"/>
    <w:rsid w:val="00866C3E"/>
    <w:rsid w:val="00880679"/>
    <w:rsid w:val="00891D28"/>
    <w:rsid w:val="00891EE0"/>
    <w:rsid w:val="00892CAD"/>
    <w:rsid w:val="008979F3"/>
    <w:rsid w:val="008A2C23"/>
    <w:rsid w:val="008A6B25"/>
    <w:rsid w:val="008C0B8E"/>
    <w:rsid w:val="008C198C"/>
    <w:rsid w:val="008C7733"/>
    <w:rsid w:val="008D3B10"/>
    <w:rsid w:val="008D3DBB"/>
    <w:rsid w:val="008E0C36"/>
    <w:rsid w:val="008F6CB8"/>
    <w:rsid w:val="008F7D0E"/>
    <w:rsid w:val="00902617"/>
    <w:rsid w:val="00904C0B"/>
    <w:rsid w:val="009142C1"/>
    <w:rsid w:val="0091625C"/>
    <w:rsid w:val="0092278C"/>
    <w:rsid w:val="00922C9F"/>
    <w:rsid w:val="00923387"/>
    <w:rsid w:val="00940337"/>
    <w:rsid w:val="00943F5B"/>
    <w:rsid w:val="00944E0B"/>
    <w:rsid w:val="009522F7"/>
    <w:rsid w:val="00954C39"/>
    <w:rsid w:val="009551D0"/>
    <w:rsid w:val="009579DA"/>
    <w:rsid w:val="009651F0"/>
    <w:rsid w:val="00965222"/>
    <w:rsid w:val="00974272"/>
    <w:rsid w:val="009769F5"/>
    <w:rsid w:val="00977DF2"/>
    <w:rsid w:val="009841EB"/>
    <w:rsid w:val="00990F32"/>
    <w:rsid w:val="009918DD"/>
    <w:rsid w:val="00994ABE"/>
    <w:rsid w:val="0099753A"/>
    <w:rsid w:val="009A6F74"/>
    <w:rsid w:val="009C07EC"/>
    <w:rsid w:val="009C1B44"/>
    <w:rsid w:val="009C7229"/>
    <w:rsid w:val="009D0781"/>
    <w:rsid w:val="009D22B2"/>
    <w:rsid w:val="009D64DC"/>
    <w:rsid w:val="009D6BD1"/>
    <w:rsid w:val="009E1B92"/>
    <w:rsid w:val="009E4A58"/>
    <w:rsid w:val="009E6455"/>
    <w:rsid w:val="009F105D"/>
    <w:rsid w:val="009F48C4"/>
    <w:rsid w:val="009F6F36"/>
    <w:rsid w:val="00A0728D"/>
    <w:rsid w:val="00A1227A"/>
    <w:rsid w:val="00A20EB0"/>
    <w:rsid w:val="00A21CF3"/>
    <w:rsid w:val="00A23292"/>
    <w:rsid w:val="00A244B3"/>
    <w:rsid w:val="00A26968"/>
    <w:rsid w:val="00A32900"/>
    <w:rsid w:val="00A356CA"/>
    <w:rsid w:val="00A35AC3"/>
    <w:rsid w:val="00A35D35"/>
    <w:rsid w:val="00A4149A"/>
    <w:rsid w:val="00A43CCE"/>
    <w:rsid w:val="00A46673"/>
    <w:rsid w:val="00A60439"/>
    <w:rsid w:val="00A67BEE"/>
    <w:rsid w:val="00A71523"/>
    <w:rsid w:val="00A72A8A"/>
    <w:rsid w:val="00A7363D"/>
    <w:rsid w:val="00A73C69"/>
    <w:rsid w:val="00A7664D"/>
    <w:rsid w:val="00A767D1"/>
    <w:rsid w:val="00A77FEC"/>
    <w:rsid w:val="00A86F12"/>
    <w:rsid w:val="00AA0F0E"/>
    <w:rsid w:val="00AA24C5"/>
    <w:rsid w:val="00AA35A1"/>
    <w:rsid w:val="00AA6249"/>
    <w:rsid w:val="00AA63F3"/>
    <w:rsid w:val="00AC02EE"/>
    <w:rsid w:val="00AC4F80"/>
    <w:rsid w:val="00AD77E0"/>
    <w:rsid w:val="00AE09BA"/>
    <w:rsid w:val="00AE3E26"/>
    <w:rsid w:val="00AE5129"/>
    <w:rsid w:val="00AE74C6"/>
    <w:rsid w:val="00AF1F53"/>
    <w:rsid w:val="00B003BC"/>
    <w:rsid w:val="00B056CE"/>
    <w:rsid w:val="00B05C3F"/>
    <w:rsid w:val="00B11A09"/>
    <w:rsid w:val="00B16530"/>
    <w:rsid w:val="00B175E2"/>
    <w:rsid w:val="00B236FF"/>
    <w:rsid w:val="00B27E90"/>
    <w:rsid w:val="00B3262C"/>
    <w:rsid w:val="00B34475"/>
    <w:rsid w:val="00B34668"/>
    <w:rsid w:val="00B35222"/>
    <w:rsid w:val="00B36FC5"/>
    <w:rsid w:val="00B400F1"/>
    <w:rsid w:val="00B479BE"/>
    <w:rsid w:val="00B54E6E"/>
    <w:rsid w:val="00B57574"/>
    <w:rsid w:val="00B651DA"/>
    <w:rsid w:val="00B65526"/>
    <w:rsid w:val="00B6678B"/>
    <w:rsid w:val="00B70267"/>
    <w:rsid w:val="00B7033B"/>
    <w:rsid w:val="00B80297"/>
    <w:rsid w:val="00B85AD2"/>
    <w:rsid w:val="00B94CF9"/>
    <w:rsid w:val="00B97B86"/>
    <w:rsid w:val="00B97CBE"/>
    <w:rsid w:val="00BA54FC"/>
    <w:rsid w:val="00BA78FF"/>
    <w:rsid w:val="00BB0ED6"/>
    <w:rsid w:val="00BB11EA"/>
    <w:rsid w:val="00BB3682"/>
    <w:rsid w:val="00BB452E"/>
    <w:rsid w:val="00BB56BB"/>
    <w:rsid w:val="00BB5A16"/>
    <w:rsid w:val="00BB5CF3"/>
    <w:rsid w:val="00BD16D8"/>
    <w:rsid w:val="00BD1778"/>
    <w:rsid w:val="00BD2379"/>
    <w:rsid w:val="00BD3198"/>
    <w:rsid w:val="00BD7549"/>
    <w:rsid w:val="00BE205F"/>
    <w:rsid w:val="00BE303B"/>
    <w:rsid w:val="00BE555D"/>
    <w:rsid w:val="00BF3832"/>
    <w:rsid w:val="00BF4357"/>
    <w:rsid w:val="00BF55B9"/>
    <w:rsid w:val="00C0622B"/>
    <w:rsid w:val="00C07C6F"/>
    <w:rsid w:val="00C1213D"/>
    <w:rsid w:val="00C239C6"/>
    <w:rsid w:val="00C23F2A"/>
    <w:rsid w:val="00C26795"/>
    <w:rsid w:val="00C27BDB"/>
    <w:rsid w:val="00C31A20"/>
    <w:rsid w:val="00C3201E"/>
    <w:rsid w:val="00C3477D"/>
    <w:rsid w:val="00C44D72"/>
    <w:rsid w:val="00C50D45"/>
    <w:rsid w:val="00C51D3D"/>
    <w:rsid w:val="00C63C42"/>
    <w:rsid w:val="00C6574B"/>
    <w:rsid w:val="00C71C57"/>
    <w:rsid w:val="00C76CBB"/>
    <w:rsid w:val="00C8200E"/>
    <w:rsid w:val="00C932A4"/>
    <w:rsid w:val="00C9659E"/>
    <w:rsid w:val="00C9785B"/>
    <w:rsid w:val="00CA1B8F"/>
    <w:rsid w:val="00CA3353"/>
    <w:rsid w:val="00CB01FE"/>
    <w:rsid w:val="00CB3E82"/>
    <w:rsid w:val="00CB475E"/>
    <w:rsid w:val="00CB6A3C"/>
    <w:rsid w:val="00CC10B4"/>
    <w:rsid w:val="00CC1337"/>
    <w:rsid w:val="00CC52F7"/>
    <w:rsid w:val="00CC7BC4"/>
    <w:rsid w:val="00CD1215"/>
    <w:rsid w:val="00CD16BD"/>
    <w:rsid w:val="00CD2B7C"/>
    <w:rsid w:val="00CD304F"/>
    <w:rsid w:val="00CE5389"/>
    <w:rsid w:val="00CF0A19"/>
    <w:rsid w:val="00CF1ABA"/>
    <w:rsid w:val="00CF23BF"/>
    <w:rsid w:val="00CF2F19"/>
    <w:rsid w:val="00CF372A"/>
    <w:rsid w:val="00D00CC1"/>
    <w:rsid w:val="00D078F3"/>
    <w:rsid w:val="00D149DC"/>
    <w:rsid w:val="00D149F3"/>
    <w:rsid w:val="00D264B8"/>
    <w:rsid w:val="00D31D15"/>
    <w:rsid w:val="00D31F68"/>
    <w:rsid w:val="00D325D2"/>
    <w:rsid w:val="00D35B18"/>
    <w:rsid w:val="00D363D5"/>
    <w:rsid w:val="00D40A01"/>
    <w:rsid w:val="00D45154"/>
    <w:rsid w:val="00D52C71"/>
    <w:rsid w:val="00D571E9"/>
    <w:rsid w:val="00D66068"/>
    <w:rsid w:val="00D7602C"/>
    <w:rsid w:val="00D76921"/>
    <w:rsid w:val="00D76C5C"/>
    <w:rsid w:val="00D809B5"/>
    <w:rsid w:val="00D8639A"/>
    <w:rsid w:val="00D876BB"/>
    <w:rsid w:val="00D8783D"/>
    <w:rsid w:val="00D921FB"/>
    <w:rsid w:val="00D949C7"/>
    <w:rsid w:val="00D95C67"/>
    <w:rsid w:val="00D9628A"/>
    <w:rsid w:val="00D96F53"/>
    <w:rsid w:val="00D97703"/>
    <w:rsid w:val="00DA3269"/>
    <w:rsid w:val="00DA39CF"/>
    <w:rsid w:val="00DA54DA"/>
    <w:rsid w:val="00DA5733"/>
    <w:rsid w:val="00DA5775"/>
    <w:rsid w:val="00DB4B38"/>
    <w:rsid w:val="00DB799A"/>
    <w:rsid w:val="00DC14EB"/>
    <w:rsid w:val="00DC3259"/>
    <w:rsid w:val="00DC51A9"/>
    <w:rsid w:val="00DC6C5D"/>
    <w:rsid w:val="00DC721E"/>
    <w:rsid w:val="00DD1DCC"/>
    <w:rsid w:val="00DD2187"/>
    <w:rsid w:val="00DE2769"/>
    <w:rsid w:val="00DE3D2D"/>
    <w:rsid w:val="00DE3D87"/>
    <w:rsid w:val="00DE6BF4"/>
    <w:rsid w:val="00DE7A23"/>
    <w:rsid w:val="00DF25E6"/>
    <w:rsid w:val="00DF2B63"/>
    <w:rsid w:val="00DF2B8D"/>
    <w:rsid w:val="00DF3D5D"/>
    <w:rsid w:val="00E0378A"/>
    <w:rsid w:val="00E0383D"/>
    <w:rsid w:val="00E03AF0"/>
    <w:rsid w:val="00E03CD9"/>
    <w:rsid w:val="00E06D8D"/>
    <w:rsid w:val="00E11F4F"/>
    <w:rsid w:val="00E12FC2"/>
    <w:rsid w:val="00E13D87"/>
    <w:rsid w:val="00E16CE4"/>
    <w:rsid w:val="00E2301E"/>
    <w:rsid w:val="00E2471B"/>
    <w:rsid w:val="00E25780"/>
    <w:rsid w:val="00E3295D"/>
    <w:rsid w:val="00E33CC9"/>
    <w:rsid w:val="00E34D4F"/>
    <w:rsid w:val="00E416C7"/>
    <w:rsid w:val="00E46BF7"/>
    <w:rsid w:val="00E51826"/>
    <w:rsid w:val="00E536C3"/>
    <w:rsid w:val="00E5592F"/>
    <w:rsid w:val="00E56F8B"/>
    <w:rsid w:val="00E605E8"/>
    <w:rsid w:val="00E65A59"/>
    <w:rsid w:val="00E67E82"/>
    <w:rsid w:val="00E8437B"/>
    <w:rsid w:val="00E84B76"/>
    <w:rsid w:val="00E851DD"/>
    <w:rsid w:val="00E90770"/>
    <w:rsid w:val="00E979E8"/>
    <w:rsid w:val="00EA108A"/>
    <w:rsid w:val="00EA195A"/>
    <w:rsid w:val="00EA67F4"/>
    <w:rsid w:val="00EB59AD"/>
    <w:rsid w:val="00EB6E25"/>
    <w:rsid w:val="00EC1220"/>
    <w:rsid w:val="00EC4D6D"/>
    <w:rsid w:val="00EC69B2"/>
    <w:rsid w:val="00EE3129"/>
    <w:rsid w:val="00EE780B"/>
    <w:rsid w:val="00EF04C2"/>
    <w:rsid w:val="00EF3A1D"/>
    <w:rsid w:val="00F01CBD"/>
    <w:rsid w:val="00F02B95"/>
    <w:rsid w:val="00F03A6C"/>
    <w:rsid w:val="00F046C4"/>
    <w:rsid w:val="00F130CA"/>
    <w:rsid w:val="00F1421A"/>
    <w:rsid w:val="00F31C01"/>
    <w:rsid w:val="00F33007"/>
    <w:rsid w:val="00F36086"/>
    <w:rsid w:val="00F368BE"/>
    <w:rsid w:val="00F36DFE"/>
    <w:rsid w:val="00F37536"/>
    <w:rsid w:val="00F42815"/>
    <w:rsid w:val="00F45276"/>
    <w:rsid w:val="00F45ADC"/>
    <w:rsid w:val="00F47D27"/>
    <w:rsid w:val="00F47D40"/>
    <w:rsid w:val="00F5001A"/>
    <w:rsid w:val="00F50301"/>
    <w:rsid w:val="00F55EE9"/>
    <w:rsid w:val="00F60040"/>
    <w:rsid w:val="00F60813"/>
    <w:rsid w:val="00F677DC"/>
    <w:rsid w:val="00F75B01"/>
    <w:rsid w:val="00F779A2"/>
    <w:rsid w:val="00F94049"/>
    <w:rsid w:val="00FA3C40"/>
    <w:rsid w:val="00FA641D"/>
    <w:rsid w:val="00FB020C"/>
    <w:rsid w:val="00FB39E3"/>
    <w:rsid w:val="00FB4B46"/>
    <w:rsid w:val="00FB69BD"/>
    <w:rsid w:val="00FC19AA"/>
    <w:rsid w:val="00FF2AFC"/>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7384C"/>
  <w15:docId w15:val="{DB0A2500-89D7-40B7-A5CB-76F4B218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7B86"/>
    <w:pPr>
      <w:keepNext/>
      <w:outlineLvl w:val="0"/>
    </w:pPr>
    <w:rPr>
      <w:rFonts w:ascii="游ゴシック Light" w:eastAsia="游ゴシック Light" w:hAnsi="游ゴシック Light" w:cs="ＭＳ Ｐゴシック"/>
      <w:sz w:val="24"/>
      <w:szCs w:val="24"/>
    </w:rPr>
  </w:style>
  <w:style w:type="paragraph" w:styleId="2">
    <w:name w:val="heading 2"/>
    <w:basedOn w:val="a"/>
    <w:next w:val="a"/>
    <w:link w:val="20"/>
    <w:uiPriority w:val="9"/>
    <w:unhideWhenUsed/>
    <w:qFormat/>
    <w:rsid w:val="00B97B86"/>
    <w:pPr>
      <w:keepNext/>
      <w:outlineLvl w:val="1"/>
    </w:pPr>
    <w:rPr>
      <w:rFonts w:ascii="游ゴシック Light" w:eastAsia="游ゴシック Light" w:hAnsi="游ゴシック Light" w:cs="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6068"/>
    <w:rPr>
      <w:sz w:val="18"/>
      <w:szCs w:val="18"/>
    </w:rPr>
  </w:style>
  <w:style w:type="paragraph" w:styleId="a4">
    <w:name w:val="annotation text"/>
    <w:basedOn w:val="a"/>
    <w:link w:val="a5"/>
    <w:uiPriority w:val="99"/>
    <w:semiHidden/>
    <w:unhideWhenUsed/>
    <w:rsid w:val="00D66068"/>
    <w:pPr>
      <w:jc w:val="left"/>
    </w:pPr>
  </w:style>
  <w:style w:type="character" w:customStyle="1" w:styleId="a5">
    <w:name w:val="コメント文字列 (文字)"/>
    <w:basedOn w:val="a0"/>
    <w:link w:val="a4"/>
    <w:uiPriority w:val="99"/>
    <w:semiHidden/>
    <w:rsid w:val="00D66068"/>
  </w:style>
  <w:style w:type="paragraph" w:styleId="a6">
    <w:name w:val="annotation subject"/>
    <w:basedOn w:val="a4"/>
    <w:next w:val="a4"/>
    <w:link w:val="a7"/>
    <w:uiPriority w:val="99"/>
    <w:semiHidden/>
    <w:unhideWhenUsed/>
    <w:rsid w:val="00D66068"/>
    <w:rPr>
      <w:b/>
      <w:bCs/>
    </w:rPr>
  </w:style>
  <w:style w:type="character" w:customStyle="1" w:styleId="a7">
    <w:name w:val="コメント内容 (文字)"/>
    <w:basedOn w:val="a5"/>
    <w:link w:val="a6"/>
    <w:uiPriority w:val="99"/>
    <w:semiHidden/>
    <w:rsid w:val="00D66068"/>
    <w:rPr>
      <w:b/>
      <w:bCs/>
    </w:rPr>
  </w:style>
  <w:style w:type="paragraph" w:styleId="a8">
    <w:name w:val="Balloon Text"/>
    <w:basedOn w:val="a"/>
    <w:link w:val="a9"/>
    <w:uiPriority w:val="99"/>
    <w:semiHidden/>
    <w:unhideWhenUsed/>
    <w:rsid w:val="00D66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068"/>
    <w:rPr>
      <w:rFonts w:asciiTheme="majorHAnsi" w:eastAsiaTheme="majorEastAsia" w:hAnsiTheme="majorHAnsi" w:cstheme="majorBidi"/>
      <w:sz w:val="18"/>
      <w:szCs w:val="18"/>
    </w:rPr>
  </w:style>
  <w:style w:type="paragraph" w:styleId="aa">
    <w:name w:val="header"/>
    <w:basedOn w:val="a"/>
    <w:link w:val="ab"/>
    <w:uiPriority w:val="99"/>
    <w:unhideWhenUsed/>
    <w:rsid w:val="00C0622B"/>
    <w:pPr>
      <w:tabs>
        <w:tab w:val="center" w:pos="4252"/>
        <w:tab w:val="right" w:pos="8504"/>
      </w:tabs>
      <w:snapToGrid w:val="0"/>
    </w:pPr>
  </w:style>
  <w:style w:type="character" w:customStyle="1" w:styleId="ab">
    <w:name w:val="ヘッダー (文字)"/>
    <w:basedOn w:val="a0"/>
    <w:link w:val="aa"/>
    <w:uiPriority w:val="99"/>
    <w:rsid w:val="00C0622B"/>
  </w:style>
  <w:style w:type="paragraph" w:styleId="ac">
    <w:name w:val="footer"/>
    <w:basedOn w:val="a"/>
    <w:link w:val="ad"/>
    <w:uiPriority w:val="99"/>
    <w:unhideWhenUsed/>
    <w:rsid w:val="00C0622B"/>
    <w:pPr>
      <w:tabs>
        <w:tab w:val="center" w:pos="4252"/>
        <w:tab w:val="right" w:pos="8504"/>
      </w:tabs>
      <w:snapToGrid w:val="0"/>
    </w:pPr>
  </w:style>
  <w:style w:type="character" w:customStyle="1" w:styleId="ad">
    <w:name w:val="フッター (文字)"/>
    <w:basedOn w:val="a0"/>
    <w:link w:val="ac"/>
    <w:uiPriority w:val="99"/>
    <w:rsid w:val="00C0622B"/>
  </w:style>
  <w:style w:type="character" w:customStyle="1" w:styleId="10">
    <w:name w:val="見出し 1 (文字)"/>
    <w:basedOn w:val="a0"/>
    <w:link w:val="1"/>
    <w:uiPriority w:val="9"/>
    <w:rsid w:val="00B97B86"/>
    <w:rPr>
      <w:rFonts w:ascii="游ゴシック Light" w:eastAsia="游ゴシック Light" w:hAnsi="游ゴシック Light" w:cs="ＭＳ Ｐゴシック"/>
      <w:sz w:val="24"/>
      <w:szCs w:val="24"/>
    </w:rPr>
  </w:style>
  <w:style w:type="character" w:customStyle="1" w:styleId="20">
    <w:name w:val="見出し 2 (文字)"/>
    <w:basedOn w:val="a0"/>
    <w:link w:val="2"/>
    <w:uiPriority w:val="9"/>
    <w:rsid w:val="00B97B86"/>
    <w:rPr>
      <w:rFonts w:ascii="游ゴシック Light" w:eastAsia="游ゴシック Light" w:hAnsi="游ゴシック Light" w:cs="ＭＳ Ｐゴシック"/>
      <w:sz w:val="24"/>
    </w:rPr>
  </w:style>
  <w:style w:type="paragraph" w:styleId="ae">
    <w:name w:val="TOC Heading"/>
    <w:basedOn w:val="1"/>
    <w:next w:val="a"/>
    <w:uiPriority w:val="39"/>
    <w:unhideWhenUsed/>
    <w:qFormat/>
    <w:rsid w:val="00DA326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DA3269"/>
  </w:style>
  <w:style w:type="paragraph" w:styleId="21">
    <w:name w:val="toc 2"/>
    <w:basedOn w:val="a"/>
    <w:next w:val="a"/>
    <w:autoRedefine/>
    <w:uiPriority w:val="39"/>
    <w:unhideWhenUsed/>
    <w:rsid w:val="00DA3269"/>
    <w:pPr>
      <w:ind w:leftChars="100" w:left="210"/>
    </w:pPr>
  </w:style>
  <w:style w:type="character" w:styleId="af">
    <w:name w:val="Hyperlink"/>
    <w:basedOn w:val="a0"/>
    <w:uiPriority w:val="99"/>
    <w:unhideWhenUsed/>
    <w:rsid w:val="00DA3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7D55-CD37-47B3-B577-59149897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19</Pages>
  <Words>1869</Words>
  <Characters>10657</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白充</dc:creator>
  <cp:lastModifiedBy>白 充</cp:lastModifiedBy>
  <cp:revision>26</cp:revision>
  <dcterms:created xsi:type="dcterms:W3CDTF">2013-11-01T00:16:00Z</dcterms:created>
  <dcterms:modified xsi:type="dcterms:W3CDTF">2023-06-02T06:34:00Z</dcterms:modified>
</cp:coreProperties>
</file>